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97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Eletiva de Filosofia do renascimento: A “boa consciência” de Montaigne contra o arrependimento cristão: sabedoria e ética aristotélica nos Ensaios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Sergio Xavier Gomes de Araujo –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araujo.sergio@unifesp.br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 e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 h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p6f6g8g7ezh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unidade curricular propõe examinar as diferentes concepções do humanismo na Renascença e suas relações com o mundo greco-romano e com a modernidade.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7w0t07xdtvc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crítica do arrependimento cristão, sobretudo da maneira como concebido no contexto dogmático da religiosidade contra reformista é oportuna para Montaigne afirmar o valor de sua concepção de sabedoria fundada na coerência do modo de vida segundo a natureza, pautada na noção de virtude como habitus segundo Aristóteles e nos preceitos da moralidade estoica, especialmente tal como estabelecidos por Sêneca.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280" w:lineRule="auto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O curso se propõe ao estudo do capítulo Do Arrependimento (III.2) associado à leitura de passagens de outros capítulos dos Ensaios de modo a examinar a religiosidade de Montaigne e os modos como seu discurso se relaciona com a ambiência marcadamente dogmática das reformas religiosas de seu século. Busca-se examinar deste modo a idéia de virtude que Montaigne forja a partir de seu próprio exemplo no contexto conturbado das guerras religiosas de seu século.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Estudo da noção de virtude em Montaigne fundada na ética aristotélica e estóica.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Estudo da ambiência religiosa da Europa do século XVI marcada pelos conflitos religiosos.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Exame da emergência da idéia de tolerância no âmbito dos debates políticos da França do século XVI.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Estudo do fideísmo cético e das reformas religiosas.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7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Trabalho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ARISTÓTELES, </w:t>
            </w:r>
            <w:r w:rsidDel="00000000" w:rsidR="00000000" w:rsidRPr="00000000">
              <w:rPr>
                <w:i w:val="1"/>
                <w:rtl w:val="0"/>
              </w:rPr>
              <w:t xml:space="preserve">Etica a Nicomaco</w:t>
            </w:r>
            <w:r w:rsidDel="00000000" w:rsidR="00000000" w:rsidRPr="00000000">
              <w:rPr>
                <w:rtl w:val="0"/>
              </w:rPr>
              <w:t xml:space="preserve">, Os Pensadores, Ed. Abril, 1973.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___________, </w:t>
            </w:r>
            <w:r w:rsidDel="00000000" w:rsidR="00000000" w:rsidRPr="00000000">
              <w:rPr>
                <w:i w:val="1"/>
                <w:rtl w:val="0"/>
              </w:rPr>
              <w:t xml:space="preserve">Nichomachean Ethics</w:t>
            </w:r>
            <w:r w:rsidDel="00000000" w:rsidR="00000000" w:rsidRPr="00000000">
              <w:rPr>
                <w:rtl w:val="0"/>
              </w:rPr>
              <w:t xml:space="preserve">, Translation Introduction and Commentary, BROADIE, Sarah; ROWE, Christopher, Oxford University Press, 2002.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MONTAIGNE, </w:t>
            </w:r>
            <w:r w:rsidDel="00000000" w:rsidR="00000000" w:rsidRPr="00000000">
              <w:rPr>
                <w:i w:val="1"/>
                <w:rtl w:val="0"/>
              </w:rPr>
              <w:t xml:space="preserve">Les Essais</w:t>
            </w:r>
            <w:r w:rsidDel="00000000" w:rsidR="00000000" w:rsidRPr="00000000">
              <w:rPr>
                <w:rtl w:val="0"/>
              </w:rPr>
              <w:t xml:space="preserve">, Édition de Pierre Villey; Quadrige, Presses Universitaires de France, 1988.</w:t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PLATÃO, </w:t>
            </w:r>
            <w:r w:rsidDel="00000000" w:rsidR="00000000" w:rsidRPr="00000000">
              <w:rPr>
                <w:i w:val="1"/>
                <w:rtl w:val="0"/>
              </w:rPr>
              <w:t xml:space="preserve">A República</w:t>
            </w:r>
            <w:r w:rsidDel="00000000" w:rsidR="00000000" w:rsidRPr="00000000">
              <w:rPr>
                <w:rtl w:val="0"/>
              </w:rPr>
              <w:t xml:space="preserve">, Ed. Ufpa, Belém, 2016.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SÊNECA, </w:t>
            </w:r>
            <w:r w:rsidDel="00000000" w:rsidR="00000000" w:rsidRPr="00000000">
              <w:rPr>
                <w:i w:val="1"/>
                <w:rtl w:val="0"/>
              </w:rPr>
              <w:t xml:space="preserve">Cartas a Lucílio</w:t>
            </w:r>
            <w:r w:rsidDel="00000000" w:rsidR="00000000" w:rsidRPr="00000000">
              <w:rPr>
                <w:rtl w:val="0"/>
              </w:rPr>
              <w:t xml:space="preserve">, Fundação Calouste Gulbekian, Lisboa, 1991.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______, </w:t>
            </w:r>
            <w:r w:rsidDel="00000000" w:rsidR="00000000" w:rsidRPr="00000000">
              <w:rPr>
                <w:i w:val="1"/>
                <w:rtl w:val="0"/>
              </w:rPr>
              <w:t xml:space="preserve">Lettere a Lucilio</w:t>
            </w:r>
            <w:r w:rsidDel="00000000" w:rsidR="00000000" w:rsidRPr="00000000">
              <w:rPr>
                <w:rtl w:val="0"/>
              </w:rPr>
              <w:t xml:space="preserve">. A cura de Umberto Boella, Unione Tipografica-Editrice torinese, Torino, 1998.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AUERBACH, Eric. “L’ humaine condition”, In: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Mimesis</w:t>
            </w:r>
            <w:r w:rsidDel="00000000" w:rsidR="00000000" w:rsidRPr="00000000">
              <w:rPr>
                <w:color w:val="000000"/>
                <w:rtl w:val="0"/>
              </w:rPr>
              <w:t xml:space="preserve">, Editora Perspectiva, São Paulo,1994.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BALSAMO, Jean.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La Parole de Montaigne</w:t>
            </w:r>
            <w:r w:rsidDel="00000000" w:rsidR="00000000" w:rsidRPr="00000000">
              <w:rPr>
                <w:color w:val="000000"/>
                <w:rtl w:val="0"/>
              </w:rPr>
              <w:t xml:space="preserve">, Paris, Rosenberg e Selliers, 2019.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BATAILLON, Marcel. </w:t>
            </w:r>
            <w:r w:rsidDel="00000000" w:rsidR="00000000" w:rsidRPr="00000000">
              <w:rPr>
                <w:i w:val="1"/>
                <w:rtl w:val="0"/>
              </w:rPr>
              <w:t xml:space="preserve">Erasmo y España</w:t>
            </w:r>
            <w:r w:rsidDel="00000000" w:rsidR="00000000" w:rsidRPr="00000000">
              <w:rPr>
                <w:rtl w:val="0"/>
              </w:rPr>
              <w:t xml:space="preserve">. Fondo de cultura econômica, México, 1982.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CARDOSO, Sergio. “Uma fé, um rei, uma lei” In: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A Crise da Razão,</w:t>
            </w:r>
            <w:r w:rsidDel="00000000" w:rsidR="00000000" w:rsidRPr="00000000">
              <w:rPr>
                <w:color w:val="000000"/>
                <w:rtl w:val="0"/>
              </w:rPr>
              <w:t xml:space="preserve"> Companhia das Letras, São Paulo, 2006.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DELUMEAU, Jean.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Nascimento e Afirmação da Reforma</w:t>
            </w:r>
            <w:r w:rsidDel="00000000" w:rsidR="00000000" w:rsidRPr="00000000">
              <w:rPr>
                <w:color w:val="000000"/>
                <w:rtl w:val="0"/>
              </w:rPr>
              <w:t xml:space="preserve">. Livraria Pioneira Editora, São Paulo, 1989.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FRIEDRICH, Hugo.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Montaigne</w:t>
            </w:r>
            <w:r w:rsidDel="00000000" w:rsidR="00000000" w:rsidRPr="00000000">
              <w:rPr>
                <w:color w:val="000000"/>
                <w:rtl w:val="0"/>
              </w:rPr>
              <w:t xml:space="preserve">, Paris: Gallimard, 1968.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GOYET, Francis.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Les Audaces de la Prudence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littérature et politique aux XVI et XVII siècles</w:t>
            </w:r>
            <w:r w:rsidDel="00000000" w:rsidR="00000000" w:rsidRPr="00000000">
              <w:rPr>
                <w:color w:val="000000"/>
                <w:rtl w:val="0"/>
              </w:rPr>
              <w:t xml:space="preserve">, Editions Classiques Garnier, Paris, 2009.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LESTRINGNANT, Frank; RIEU, Josiane. “L´epoque de Henri III” In: </w:t>
            </w:r>
            <w:r w:rsidDel="00000000" w:rsidR="00000000" w:rsidRPr="00000000">
              <w:rPr>
                <w:i w:val="1"/>
                <w:rtl w:val="0"/>
              </w:rPr>
              <w:t xml:space="preserve">Littérature Française du XVI siècle.</w:t>
            </w:r>
            <w:r w:rsidDel="00000000" w:rsidR="00000000" w:rsidRPr="00000000">
              <w:rPr>
                <w:rtl w:val="0"/>
              </w:rPr>
              <w:t xml:space="preserve"> Presses Universitaires de France, Paris, 2000.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NAKAM, Geralde. Les Essais de Montaigne, Miroir et Proces de leur Temps, Librarie A.-G. Nizet, Paris, 1984.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ZINGANO, Marco. “Acrasia e o método da ética” In: </w:t>
            </w:r>
            <w:r w:rsidDel="00000000" w:rsidR="00000000" w:rsidRPr="00000000">
              <w:rPr>
                <w:i w:val="1"/>
                <w:rtl w:val="0"/>
              </w:rPr>
              <w:t xml:space="preserve">Estudos de Ética Antiga</w:t>
            </w:r>
            <w:r w:rsidDel="00000000" w:rsidR="00000000" w:rsidRPr="00000000">
              <w:rPr>
                <w:rtl w:val="0"/>
              </w:rPr>
              <w:t xml:space="preserve">, Discurso Editorial, São Paulo, 2007.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A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  <w:rPr>
      <w:sz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7y/QEgUD/AwMuh6Vs80frUPLQ==">CgMxLjAyCGguZ2pkZ3hzMg5oLnA2ZjZnOGc3ZXpoMTIOaC43dzB0MDd4ZHR2YzE4AHIhMXRTdmNqaTRwdVJ4TWJXelF3QUg5VUZ6em5sV01pajVz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2023-10-25T02:03:00Z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