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6.0" w:type="dxa"/>
        <w:jc w:val="left"/>
        <w:tblInd w:w="-882.0" w:type="dxa"/>
        <w:tblLayout w:type="fixed"/>
        <w:tblLook w:val="0600"/>
      </w:tblPr>
      <w:tblGrid>
        <w:gridCol w:w="3758"/>
        <w:gridCol w:w="2642"/>
        <w:gridCol w:w="3696"/>
        <w:tblGridChange w:id="0">
          <w:tblGrid>
            <w:gridCol w:w="3758"/>
            <w:gridCol w:w="2642"/>
            <w:gridCol w:w="36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Ética e Filosofia Política: Retórica e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Unidade Curricular (UC):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10248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Patrícia F Aranovich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Português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Fixa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Eletiva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(X)Disciplina</w:t>
              <w:br w:type="textWrapping"/>
              <w:t xml:space="preserve">(  ) Módulo</w:t>
              <w:br w:type="textWrapping"/>
              <w:t xml:space="preserve">(  ) Estágio 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x ) Semestral (  ) Anual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  ) Classroom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 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A unidade curricular propõe examinar conceitos referentes à articulação entre ética e política.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280" w:lineRule="auto"/>
              <w:rPr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1a parte : Retórica à Herênio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Vocabulário da retórica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Partes da arte e partes do discurso.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 gêneros do discurso.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2a parte: De Oratore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Filosofia e retórica na antiguidade. 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Retórica, eloquência e política.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3a parte: Instituições Oratórias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Retórica e filosofia moral. A arte, o artífice e a obra.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Gerais: Apresentar o debate entre filosofia e retórica na antiguidade romana para compreender o vínculo entre elas.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Específicos: A disciplina tem como objetivo apresentar três dos principais textos sobre retórica da Antiguidade: a Retorica ad Herenio, o De Oratore e as Institutio Oratoria. O estudo destas obras provê o leitor do vocabulário da retórica e dos diversos aspectos da arte. Pretende-se discutir o estatuto da verdade no texto retórico, sobretudo no que diz respeito à relação entre os artifícios linguísticos e argumentativos e as finalidades práticas da retórica. Uma vez que, no campo filosófico, a retórica é tradicionalmente associada ao estudo da ética e da filosofia política, para o qual se mostra indispensável, este será eixo central do curso. Outro aspecto a ser explorado é como a compreensão dos modos de construção do discurso segundo os preceitos retóricos apresenta-se como extensivo instrumento de interpretação de textos filosóficos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Aulas expositivas e discussões em sala.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Prova e dissertação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AUTOR DESCONHECIDO. Retórica a Herênio. Tradução de Ana Paula Celestino Faria e Adriana Seabra. São Paulo: Hedra, 2005.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80" w:before="280" w:lineRule="auto"/>
              <w:ind w:left="735" w:hanging="735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CÍCERO. Do orador. Tradução de Adriano Scatolin. São Paulo, 2009.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  <w:rtl w:val="0"/>
              </w:rPr>
              <w:t xml:space="preserve">QUINTILIANO. Institution Oratorie. Paris, Garnier Freres, s/d. (Será disponibilizada uma edição brasileira)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  <w:color w:val="1c1c1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A ser apresentada no início do semestre.</w:t>
            </w:r>
          </w:p>
          <w:p w:rsidR="00000000" w:rsidDel="00000000" w:rsidP="00000000" w:rsidRDefault="00000000" w:rsidRPr="00000000" w14:paraId="00000069">
            <w:pPr>
              <w:widowControl w:val="0"/>
              <w:ind w:left="720" w:hanging="720"/>
              <w:rPr>
                <w:rFonts w:ascii="Serif" w:cs="Serif" w:eastAsia="Serif" w:hAnsi="Serif"/>
                <w:sz w:val="22"/>
                <w:szCs w:val="22"/>
              </w:rPr>
            </w:pPr>
            <w:r w:rsidDel="00000000" w:rsidR="00000000" w:rsidRPr="00000000">
              <w:rPr>
                <w:rFonts w:ascii="Serif" w:cs="Serif" w:eastAsia="Serif" w:hAnsi="Serif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(opcional):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4" name="image1.png"/>
          <a:graphic>
            <a:graphicData uri="http://schemas.openxmlformats.org/drawingml/2006/picture">
              <pic:pic>
                <pic:nvPicPr>
                  <pic:cNvPr descr="Logotipo da EFLCH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3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0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DefaultParagraphFont"/>
    <w:uiPriority w:val="9"/>
    <w:qFormat w:val="1"/>
    <w:rsid w:val="004C2648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DefaultParagraphFont"/>
    <w:uiPriority w:val="99"/>
    <w:qFormat w:val="1"/>
    <w:rsid w:val="00C6710B"/>
    <w:rPr/>
  </w:style>
  <w:style w:type="character" w:styleId="RodapChar" w:customStyle="1">
    <w:name w:val="Rodapé Char"/>
    <w:basedOn w:val="DefaultParagraphFont"/>
    <w:uiPriority w:val="99"/>
    <w:qFormat w:val="1"/>
    <w:rsid w:val="00C6710B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NoSpacing">
    <w:name w:val="No Spacing"/>
    <w:uiPriority w:val="1"/>
    <w:qFormat w:val="1"/>
    <w:rsid w:val="004C2648"/>
    <w:pPr>
      <w:widowControl w:val="1"/>
      <w:suppressAutoHyphens w:val="1"/>
      <w:bidi w:val="0"/>
      <w:spacing w:after="0" w:before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4"/>
      <w:szCs w:val="24"/>
      <w:lang w:bidi="ar-SA" w:eastAsia="en-US" w:val="pt-BR"/>
    </w:rPr>
  </w:style>
  <w:style w:type="paragraph" w:styleId="CabealhoeRodap" w:customStyle="1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lear" w:pos="708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xFWB+RoLZcAnyKLIA0kXPD9yA==">CgMxLjA4AHIhMXRQRHVTQW9wMFh1d0JlYzRXYlB0ZFFQU3hucHVKY1Rl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2023-10-26T17:59:00Z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