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82.0" w:type="dxa"/>
        <w:tblLayout w:type="fixed"/>
        <w:tblLook w:val="0600"/>
      </w:tblPr>
      <w:tblGrid>
        <w:gridCol w:w="3758"/>
        <w:gridCol w:w="2642"/>
        <w:gridCol w:w="3696"/>
        <w:tblGridChange w:id="0">
          <w:tblGrid>
            <w:gridCol w:w="3758"/>
            <w:gridCol w:w="2642"/>
            <w:gridCol w:w="369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Estética e Filosofia da Arte I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i w:val="0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1c1c1c"/>
                <w:rtl w:val="0"/>
              </w:rPr>
              <w:t xml:space="preserve">Unidade Curricular (UC):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2552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Luciano Gatti / Filosofia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lfgatti@unifesp.br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Fixa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) Eletiva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57" w:before="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57" w:before="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curso propõe examinar, por um lado os grandes sistemas da Estética, de outro permitir a reflexão sobre as produções artísticas na história da cultura.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before="280" w:lineRule="auto"/>
              <w:rPr>
                <w:i w:val="0"/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Tradição e modernidade: o conceito de arte moderna a partir de Charles Baudelaire.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Poesia lírica e crise da experiência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Arte e técnica: cinema e fotografia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Autonomia da arte, engajamento e indústria cultural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Forma e história: Franz Kafka e Samuel Beckett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Recepção brasileira: forma literária e processo social em Machado de Assis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3">
            <w:pPr>
              <w:widowControl w:val="0"/>
              <w:spacing w:before="28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Uma introdução a questões centrais de Estética e Filosofia da Arte a partir do debate sobre arte moderna no campo da Teoria Crítica (Walter Benjamin, Theodor W. Adorno, Roberto Schwarz).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2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Dissertações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Básica: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highlight w:val="white"/>
                <w:rtl w:val="0"/>
              </w:rPr>
              <w:t xml:space="preserve">ADORNO, Theodor W. “Anotações sobre Kafka”. In: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Prismas. Crítica cultural e sociedade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Ática, 1998.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________. “Engagement”. In: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Notas de literatura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Rio de Janeiro, Tempo brasileiro, 1973.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________. “Posição do narrador no romance contemporâneo”. In: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Notas de literatura I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Editora 34, 2003.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________.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Teoria Estética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Lisboa, Edições 70, 2012.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________. “Tentando entender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Fim de partida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”.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________.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Sem Diretriz. Parva Aesthetica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Paulo: Ed. Unesp,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ADORNO, Theodor W.; BENJAMIN, Walter.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Correspondência 1928-1940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Ed. Unesp, 2012.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ADORNO, Theodor W.; HORKHEIMER, Max.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Dialética do Esclarecimento.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Rio de Janeiro, ZAHAR, 1985.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b w:val="0"/>
                <w:i w:val="0"/>
                <w:highlight w:val="white"/>
                <w:rtl w:val="0"/>
              </w:rPr>
              <w:t xml:space="preserve">BAUDELAIRE, Charles. </w:t>
            </w:r>
            <w:r w:rsidDel="00000000" w:rsidR="00000000" w:rsidRPr="00000000">
              <w:rPr>
                <w:b w:val="0"/>
                <w:i w:val="1"/>
                <w:highlight w:val="white"/>
                <w:rtl w:val="0"/>
              </w:rPr>
              <w:t xml:space="preserve">Obra completa.</w:t>
            </w:r>
            <w:r w:rsidDel="00000000" w:rsidR="00000000" w:rsidRPr="00000000">
              <w:rPr>
                <w:b w:val="0"/>
                <w:i w:val="0"/>
                <w:highlight w:val="white"/>
                <w:rtl w:val="0"/>
              </w:rPr>
              <w:t xml:space="preserve"> Rio de janeiro, Nova Aguilar, 1995.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highlight w:val="white"/>
                <w:rtl w:val="0"/>
              </w:rPr>
              <w:t xml:space="preserve">BENJAMIN, Walter.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Obras escolhidas: Magia e técnica, arte e política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Brasiliense, 1995.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________.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Obras escolhidas III. Charles Baudelaire. Um lírico no auge do capitalismo.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São Paulo, Brasiliense, 1991.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________.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A obra de arte na época de sua reprodutibilidade técnica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Porto Alegre. Ed. Zouk, 2012.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________. Ensaios sobre Brecht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Paulo. Boitempo, 2017.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BECKETT, Samuel.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Fim de Partida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Cosac Naify, 200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highlight w:val="white"/>
                <w:rtl w:val="0"/>
              </w:rPr>
              <w:t xml:space="preserve">KAFKA, Franz.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Um médico rural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Companhia das Letras, 1999.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________.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O Processo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Companhia das Letras,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SCHWARZ, Roberto.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Ao vencedor as batatas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Editora 34, 2000.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z w:val="24"/>
                <w:szCs w:val="24"/>
                <w:rtl w:val="0"/>
              </w:rPr>
              <w:t xml:space="preserve">________.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Um mestre na periferia do capitalismo: Machado de Assis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z w:val="24"/>
                <w:szCs w:val="24"/>
                <w:rtl w:val="0"/>
              </w:rPr>
              <w:t xml:space="preserve">. São Paulo, Editora 34, 2012.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z w:val="24"/>
                <w:szCs w:val="24"/>
                <w:rtl w:val="0"/>
              </w:rPr>
              <w:t xml:space="preserve">________.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Que horas são?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z w:val="24"/>
                <w:szCs w:val="24"/>
                <w:rtl w:val="0"/>
              </w:rPr>
              <w:t xml:space="preserve">. São Paulo, Companhia das letras, 2012.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________. Sequências brasileiras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, São Paulo, Companhia das letras, 1999.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color w:val="1c1c1c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highlight w:val="white"/>
                <w:rtl w:val="0"/>
              </w:rPr>
              <w:t xml:space="preserve">ALMEIDA, Jorge de.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Crítica dialética em Theodor Adorno.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Música e verdade nos anos vinte.  Cotia, Ateliê Editorial, 2007.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ALMEIDA, Jorge de: BADER, Wolfgang (Org.).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Pensamento alemão do século XX.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São Paulo. Cosac e Naif,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ANDRADE, Fábio de Souza.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Samuel Beckett: O silêncio possível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Cotia, Ateliê, 2001.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z w:val="24"/>
                <w:szCs w:val="24"/>
                <w:rtl w:val="0"/>
              </w:rPr>
              <w:t xml:space="preserve">ARANTES, Paulo Eduardo.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Sentimento da dialética na experiência intelectual brasileira. 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z w:val="24"/>
                <w:szCs w:val="24"/>
                <w:rtl w:val="0"/>
              </w:rPr>
              <w:t xml:space="preserve">São Paulo, Paz e Terra, 1992.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BUCK-MORSS, Susan.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Dialética do olhar. Walter Benjamin e o projeto das passagens.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Belo Horizonte, UFMG/Argos, 2002.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BÜRGER, Peter.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Teoria da Vanguarda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Cosac &amp; Naifi.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z w:val="24"/>
                <w:szCs w:val="24"/>
                <w:rtl w:val="0"/>
              </w:rPr>
              <w:t xml:space="preserve">CÂNDIDO, Antônio.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Formação da literatura brasileira. 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z w:val="24"/>
                <w:szCs w:val="24"/>
                <w:rtl w:val="0"/>
              </w:rPr>
              <w:t xml:space="preserve">Rio de Janeiro, Ouro sobre Azul,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________. O discurso e a cidade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z w:val="24"/>
                <w:szCs w:val="24"/>
                <w:rtl w:val="0"/>
              </w:rPr>
              <w:t xml:space="preserve">. Rio de Janeiro, Ouro sobre Azul,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CEVASCO, Maria Elisa; OHATA, Milton (org.).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Um crítico na periferia do capitalismo. Reflexões sobre a obra de Roberto Schwarz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Companhia das Letras, 2007.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DUARTE, Rodrigo; FIGUEIREDO, Virgínia; KANGUSSU, Imaculada.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Theoria Aesthetica. Em comemoração ao centenário de Theodor W. Adorno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, Porto Alegre, Escritos, 2005.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GAGNEBIN, Jeanne Marie.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História e Narração em Walter Benjamin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, São Paulo, Perspectiva, 1994.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________. Atenção e dispersão: elementos para uma discussão sobre a arte contemporânea entre Benjamin e Adorno. In: DUARTE, Rodrigo, FIGUEIREDO, Virgínia, KANGUSSI, Imaculada.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Theoria Aesthetica. Em comemoração ao centenário de Theodor W. Adorno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. Porto Alegre, Escritos, 2005. 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________.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Walter Benjamin: os cacos da história. 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z w:val="24"/>
                <w:szCs w:val="24"/>
                <w:rtl w:val="0"/>
              </w:rPr>
              <w:t xml:space="preserve">São Paulo, Editora N-1,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________.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Lembrar, Escrever, Esquecer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Editora 34, 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GATTI, Luciano.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Constelações. Crítica e verdade em Benjamin e Adorno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Loyola,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HANSEN, Miriam. 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rtl w:val="0"/>
              </w:rPr>
              <w:t xml:space="preserve">Benjamin, Cinema and Experience: "The Blue Flower in the Land of Technology"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New German Critique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, No. 40, Special Issue on Weimar Film Theory (Winter, 1987), pp. 179-224.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________.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EUA, Paris, Alpes: Kracauer (e Benjamin) sobre o cinema e a modernidade. In: Leo Charnez, Vanessa T. Schwarz (org.). 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O Cinema e a Invenção da Vida Moderna.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São Paulo, Cosac &amp; Naifi, 2001.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HUHN, Tom (ed.).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The Cambridge Companion to Adorno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, Cambridge, Cambridge University Press, 2004.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HULLOT-KENTOR, Robert.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Things beyond resemblance: on Theodor W. Adorno.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 New York, Columbia University Press, 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KRACAUER, Siegfried.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O ornamento da massa.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São Paulo, Cosac &amp; Naifi, 2009. 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LUKÁCS, Georg.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A teoria do romance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. São Paulo, Ed. 34/Duas cidades, 2000.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________.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Ensaios sobre literatura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Rio de Janeiro, Civilização Brasileira, 1965.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MACHADO, Francisco Pinheiro.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Imagem e consciência da história. Pensamento figurativo em Walter Benjamin.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São Paulo, Loyola, 2013.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NOBRE, Marcos (Org).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livre de teoria crítica.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Campinas, Papirus, 2009.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PALHARES, Taísa.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Aura. A Crise da Arte em Walter Benjamin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São Paulo, Editora Barracuda, 2006.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WELLMER, Albrecht.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Endgames: The Irreconcilable Nature of Modernity: Essays and Lectures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, Cambridge/Mass., The Mit Press, 2000.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________. The Persistence of Modernity: Essays on Aesthetics, Ethics, and Postmodernism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, Cambridge/Mass., The Mit Press, 1993.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WIGGERSHAUS, Rolf. Tradução: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A Escola de Frankfurt. História, desenvolvimento teórico, significação política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. Rio de Janeiro, Difel, 2006.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ind w:left="720" w:right="0" w:hanging="720"/>
              <w:rPr>
                <w:rFonts w:ascii="Serif" w:cs="Serif" w:eastAsia="Serif" w:hAnsi="Serif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XAVIER, Ismail.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O discurso cinematográfico. A opacidade e a transparência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z w:val="24"/>
                <w:szCs w:val="24"/>
                <w:highlight w:val="white"/>
                <w:rtl w:val="0"/>
              </w:rPr>
              <w:t xml:space="preserve">. São Paulo, Paz e Terra, 2005.</w:t>
            </w:r>
            <w:r w:rsidDel="00000000" w:rsidR="00000000" w:rsidRPr="00000000">
              <w:rPr>
                <w:rFonts w:ascii="Serif" w:cs="Serif" w:eastAsia="Serif" w:hAnsi="Serif"/>
                <w:b w:val="0"/>
                <w:i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ind w:left="720" w:right="0" w:hanging="720"/>
              <w:rPr>
                <w:rFonts w:ascii="Serif" w:cs="Serif" w:eastAsia="Serif" w:hAnsi="Serif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3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4" name="image1.png"/>
          <a:graphic>
            <a:graphicData uri="http://schemas.openxmlformats.org/drawingml/2006/picture">
              <pic:pic>
                <pic:nvPicPr>
                  <pic:cNvPr descr="Manual da Marca Unifesp - Comunicaçã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4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96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after="0" w:before="240"/>
      <w:outlineLvl w:val="0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after="0" w:before="40"/>
      <w:outlineLvl w:val="1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1Char" w:customStyle="1">
    <w:name w:val="Título 1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DefaultParagraphFont"/>
    <w:uiPriority w:val="99"/>
    <w:qFormat w:val="1"/>
    <w:rsid w:val="00C6710B"/>
    <w:rPr/>
  </w:style>
  <w:style w:type="character" w:styleId="RodapChar" w:customStyle="1">
    <w:name w:val="Rodapé Char"/>
    <w:basedOn w:val="DefaultParagraphFont"/>
    <w:uiPriority w:val="99"/>
    <w:qFormat w:val="1"/>
    <w:rsid w:val="00C6710B"/>
    <w:rPr/>
  </w:style>
  <w:style w:type="character" w:styleId="LinkdaInternet">
    <w:name w:val="Hyperlink"/>
    <w:rPr>
      <w:color w:val="000080"/>
      <w:u w:val="single"/>
      <w:lang w:bidi="zxx" w:eastAsia="zxx" w:val="zxx"/>
    </w:rPr>
  </w:style>
  <w:style w:type="character" w:styleId="Linkdainternetvisitado">
    <w:name w:val="FollowedHyperlink"/>
    <w:rPr>
      <w:color w:val="800000"/>
      <w:u w:val="single"/>
      <w:lang w:bidi="zxx" w:eastAsia="zxx" w:val="zxx"/>
    </w:rPr>
  </w:style>
  <w:style w:type="character" w:styleId="Fontepargpadro1">
    <w:name w:val="Fonte parág. padrão1"/>
    <w:qFormat w:val="1"/>
    <w:rPr/>
  </w:style>
  <w:style w:type="character" w:styleId="Nfaseforte">
    <w:name w:val="Strong"/>
    <w:basedOn w:val="Fontepargpadro1"/>
    <w:qFormat w:val="1"/>
    <w:rPr>
      <w:b w:val="1"/>
      <w:bCs w:val="1"/>
    </w:rPr>
  </w:style>
  <w:style w:type="character" w:styleId="Nfase">
    <w:name w:val="Emphasis"/>
    <w:basedOn w:val="Fontepargpadro1"/>
    <w:qFormat w:val="1"/>
    <w:rPr>
      <w:i w:val="1"/>
      <w:iCs w:val="1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Notaderodap">
    <w:name w:val="Footnote Text"/>
    <w:basedOn w:val="Normal"/>
    <w:pPr>
      <w:suppressAutoHyphens w:val="1"/>
    </w:pPr>
    <w:rPr>
      <w:sz w:val="20"/>
      <w:szCs w:val="20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1">
    <w:name w:val="WW8Num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ALG3aNJmf8w+Dv2np9Q3/RHRjA==">CgMxLjA4AHIhMWtRZjJWZHdnbUFjaDNmSzRkU05uaFA2c05ydkFYYUpj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