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36.000000000002" w:type="dxa"/>
        <w:jc w:val="left"/>
        <w:tblInd w:w="-913.0" w:type="dxa"/>
        <w:tblLayout w:type="fixed"/>
        <w:tblLook w:val="0600"/>
      </w:tblPr>
      <w:tblGrid>
        <w:gridCol w:w="3801"/>
        <w:gridCol w:w="2633"/>
        <w:gridCol w:w="3702"/>
        <w:tblGridChange w:id="0">
          <w:tblGrid>
            <w:gridCol w:w="3801"/>
            <w:gridCol w:w="2633"/>
            <w:gridCol w:w="3702"/>
          </w:tblGrid>
        </w:tblGridChange>
      </w:tblGrid>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Guarulhos</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Curso (s): Filosofia</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Unidade Curricular (UC): Extensão em Filosofia: histórias de ensinamento e sua atualidade</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Unidade Curricular (UC): Extension in Philosophy: stories of learning and the present</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Unidade Curricular (UC): Extensión em Filosofía: historias de enseñanza y su actualidad</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Código da UC: 10249</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Docente Responsável/Departamento: Cecilia Cintra Cavaleiro de Macedo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9525" cy="9525"/>
                  <wp:effectExtent b="0" l="0" r="0" t="0"/>
                  <wp:docPr descr="page1image7864320" id="10" name="image1.png"/>
                  <a:graphic>
                    <a:graphicData uri="http://schemas.openxmlformats.org/drawingml/2006/picture">
                      <pic:pic>
                        <pic:nvPicPr>
                          <pic:cNvPr descr="page1image7864320" id="0" name="image1.png"/>
                          <pic:cNvPicPr preferRelativeResize="0"/>
                        </pic:nvPicPr>
                        <pic:blipFill>
                          <a:blip r:embed="rId7"/>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rtl w:val="0"/>
              </w:rPr>
              <w:t xml:space="preserve">Contato (e-mail) (opcional): cecilia.cavaleiro@unifesp.br</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Docente(s) Colaborador(es)/Departamento(s):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Contato (e-mail) (opcional):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 letivo: 2024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 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Turno: vespertino/noturno</w:t>
            </w:r>
          </w:p>
        </w:tc>
      </w:tr>
      <w:tr>
        <w:trPr>
          <w:cantSplit w:val="0"/>
          <w:trHeight w:val="6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do Grupo/Módulo/Eixo da UC (se houver):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Idioma em que a UC será oferecida: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 ) Português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English</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Español</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Français</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Libras</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Outros:</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r>
      <w:tr>
        <w:trPr>
          <w:cantSplit w:val="0"/>
          <w:trHeight w:val="13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Fixa</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Eletiva</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Optativa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Oferecida como:</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 ) Disciplina</w:t>
              <w:br w:type="textWrapping"/>
              <w:t xml:space="preserve">(  ) Módulo</w:t>
              <w:br w:type="textWrapping"/>
              <w:t xml:space="preserve">(  ) Estágio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 da UC: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 ) Semestral (  ) Anual</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Ambiente Virtual de Aprendizagem: (  ) Moodle</w:t>
              <w:br w:type="textWrapping"/>
              <w:t xml:space="preserve">(  ) Classroom</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 </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 Não se aplica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Pré-Requisito (s) - Indicar Código e Nome da UC: não há</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total (em horas): 90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teórica (em horas): </w:t>
            </w:r>
            <w:r w:rsidDel="00000000" w:rsidR="00000000" w:rsidRPr="00000000">
              <w:rPr>
                <w:rFonts w:ascii="Times New Roman" w:cs="Times New Roman" w:eastAsia="Times New Roman" w:hAnsi="Times New Roman"/>
                <w:highlight w:val="yellow"/>
                <w:rtl w:val="0"/>
              </w:rPr>
              <w:t xml:space="preserve">73</w:t>
            </w:r>
            <w:r w:rsidDel="00000000" w:rsidR="00000000" w:rsidRPr="00000000">
              <w:rPr>
                <w:rtl w:val="0"/>
              </w:rPr>
            </w:r>
          </w:p>
          <w:p w:rsidR="00000000" w:rsidDel="00000000" w:rsidP="00000000" w:rsidRDefault="00000000" w:rsidRPr="00000000" w14:paraId="0000003E">
            <w:pPr>
              <w:spacing w:before="280" w:lineRule="auto"/>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9525" cy="9525"/>
                  <wp:effectExtent b="0" l="0" r="0" t="0"/>
                  <wp:docPr descr="page1image7899056" id="13" name="image1.png"/>
                  <a:graphic>
                    <a:graphicData uri="http://schemas.openxmlformats.org/drawingml/2006/picture">
                      <pic:pic>
                        <pic:nvPicPr>
                          <pic:cNvPr descr="page1image7899056" id="0" name="image1.png"/>
                          <pic:cNvPicPr preferRelativeResize="0"/>
                        </pic:nvPicPr>
                        <pic:blipFill>
                          <a:blip r:embed="rId7"/>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rtl w:val="0"/>
              </w:rPr>
              <w:t xml:space="preserve">Carga horária prática (em horas): </w:t>
            </w:r>
            <w:r w:rsidDel="00000000" w:rsidR="00000000" w:rsidRPr="00000000">
              <w:rPr>
                <w:rFonts w:ascii="Times New Roman" w:cs="Times New Roman" w:eastAsia="Times New Roman" w:hAnsi="Times New Roman"/>
                <w:highlight w:val="yellow"/>
                <w:rtl w:val="0"/>
              </w:rPr>
              <w:t xml:space="preserve">17</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9525" cy="9525"/>
                  <wp:effectExtent b="0" l="0" r="0" t="0"/>
                  <wp:docPr descr="page1image7925680" id="11" name="image1.png"/>
                  <a:graphic>
                    <a:graphicData uri="http://schemas.openxmlformats.org/drawingml/2006/picture">
                      <pic:pic>
                        <pic:nvPicPr>
                          <pic:cNvPr descr="page1image7925680" id="0" name="image1.png"/>
                          <pic:cNvPicPr preferRelativeResize="0"/>
                        </pic:nvPicPr>
                        <pic:blipFill>
                          <a:blip r:embed="rId7"/>
                          <a:srcRect b="0" l="0" r="0" t="0"/>
                          <a:stretch>
                            <a:fillRect/>
                          </a:stretch>
                        </pic:blipFill>
                        <pic:spPr>
                          <a:xfrm>
                            <a:off x="0" y="0"/>
                            <a:ext cx="9525" cy="952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de extensão (em horas): </w:t>
            </w:r>
            <w:r w:rsidDel="00000000" w:rsidR="00000000" w:rsidRPr="00000000">
              <w:rPr>
                <w:rFonts w:ascii="Times New Roman" w:cs="Times New Roman" w:eastAsia="Times New Roman" w:hAnsi="Times New Roman"/>
                <w:highlight w:val="yellow"/>
                <w:rtl w:val="0"/>
              </w:rPr>
              <w:t xml:space="preserve">90</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spacing w:before="28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houver atividades de extensão, indicar código e nome do projeto ou programa vinculado na Pró-Reitoria de Extensão e Cultura (Proec): Histórias de Sabedoria e Ensinamento -  código 15999</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Ementa: </w:t>
            </w:r>
          </w:p>
          <w:p w:rsidR="00000000" w:rsidDel="00000000" w:rsidP="00000000" w:rsidRDefault="00000000" w:rsidRPr="00000000" w14:paraId="00000047">
            <w:pPr>
              <w:spacing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Unidade Curricular, vinculada a Programas e/ou Projetos de Extensão vigentes no Departamento de Filosofia e oferecida tanto para a comunidade UNIFESP quanto para a comunidade externa, visa apresentar o trabalho de Extensão em Filosofia, nas Áreas Temáticas FORPROEX: Comunicação, Cultura, Direitos Humanos e Justiça, Educação, Meio Ambiente, Saúde, Tecnologia e Produção, Trabalho.</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Conteúdo programático: </w:t>
            </w:r>
          </w:p>
          <w:p w:rsidR="00000000" w:rsidDel="00000000" w:rsidP="00000000" w:rsidRDefault="00000000" w:rsidRPr="00000000" w14:paraId="0000004B">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As histórias de sabedoria e ensinamento e sua presença nos diferentes povos pelo mundo;</w:t>
            </w:r>
          </w:p>
          <w:p w:rsidR="00000000" w:rsidDel="00000000" w:rsidP="00000000" w:rsidRDefault="00000000" w:rsidRPr="00000000" w14:paraId="0000004C">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Oralidade e Sabedoria dos povos.</w:t>
            </w:r>
          </w:p>
          <w:p w:rsidR="00000000" w:rsidDel="00000000" w:rsidP="00000000" w:rsidRDefault="00000000" w:rsidRPr="00000000" w14:paraId="0000004D">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Histórias de Ensinamento no Judaísmo</w:t>
            </w:r>
          </w:p>
          <w:p w:rsidR="00000000" w:rsidDel="00000000" w:rsidP="00000000" w:rsidRDefault="00000000" w:rsidRPr="00000000" w14:paraId="0000004E">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Histórias Talmúdicas;</w:t>
            </w:r>
          </w:p>
          <w:p w:rsidR="00000000" w:rsidDel="00000000" w:rsidP="00000000" w:rsidRDefault="00000000" w:rsidRPr="00000000" w14:paraId="0000004F">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Contos Chassídicos;</w:t>
            </w:r>
          </w:p>
          <w:p w:rsidR="00000000" w:rsidDel="00000000" w:rsidP="00000000" w:rsidRDefault="00000000" w:rsidRPr="00000000" w14:paraId="00000050">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Histórias de Ensinamento no Extremo Oriente</w:t>
            </w:r>
          </w:p>
          <w:p w:rsidR="00000000" w:rsidDel="00000000" w:rsidP="00000000" w:rsidRDefault="00000000" w:rsidRPr="00000000" w14:paraId="00000051">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China</w:t>
            </w:r>
          </w:p>
          <w:p w:rsidR="00000000" w:rsidDel="00000000" w:rsidP="00000000" w:rsidRDefault="00000000" w:rsidRPr="00000000" w14:paraId="00000052">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Japão</w:t>
            </w:r>
          </w:p>
          <w:p w:rsidR="00000000" w:rsidDel="00000000" w:rsidP="00000000" w:rsidRDefault="00000000" w:rsidRPr="00000000" w14:paraId="00000053">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 oralidade árabe.</w:t>
            </w:r>
          </w:p>
          <w:p w:rsidR="00000000" w:rsidDel="00000000" w:rsidP="00000000" w:rsidRDefault="00000000" w:rsidRPr="00000000" w14:paraId="00000054">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Oralidade árabe pré-islâmica;</w:t>
            </w:r>
          </w:p>
          <w:p w:rsidR="00000000" w:rsidDel="00000000" w:rsidP="00000000" w:rsidRDefault="00000000" w:rsidRPr="00000000" w14:paraId="00000055">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As mil e uma noites;</w:t>
            </w:r>
          </w:p>
          <w:p w:rsidR="00000000" w:rsidDel="00000000" w:rsidP="00000000" w:rsidRDefault="00000000" w:rsidRPr="00000000" w14:paraId="00000056">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Histórias de Ensinamento e o Sufismo</w:t>
            </w:r>
          </w:p>
          <w:p w:rsidR="00000000" w:rsidDel="00000000" w:rsidP="00000000" w:rsidRDefault="00000000" w:rsidRPr="00000000" w14:paraId="00000057">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Nasruddin</w:t>
            </w:r>
          </w:p>
          <w:p w:rsidR="00000000" w:rsidDel="00000000" w:rsidP="00000000" w:rsidRDefault="00000000" w:rsidRPr="00000000" w14:paraId="00000058">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Histórias Eruditas</w:t>
            </w:r>
          </w:p>
          <w:p w:rsidR="00000000" w:rsidDel="00000000" w:rsidP="00000000" w:rsidRDefault="00000000" w:rsidRPr="00000000" w14:paraId="00000059">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Compreendendo a polissemia do ensinamento Sufi</w:t>
            </w:r>
          </w:p>
          <w:p w:rsidR="00000000" w:rsidDel="00000000" w:rsidP="00000000" w:rsidRDefault="00000000" w:rsidRPr="00000000" w14:paraId="0000005A">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Adaptação e atualização das técnicas e histórias estudadas</w:t>
            </w:r>
          </w:p>
          <w:p w:rsidR="00000000" w:rsidDel="00000000" w:rsidP="00000000" w:rsidRDefault="00000000" w:rsidRPr="00000000" w14:paraId="0000005B">
            <w:pPr>
              <w:spacing w:before="28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after="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Objetivos: </w:t>
            </w:r>
          </w:p>
          <w:p w:rsidR="00000000" w:rsidDel="00000000" w:rsidP="00000000" w:rsidRDefault="00000000" w:rsidRPr="00000000" w14:paraId="0000005F">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Gerais:</w:t>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Apresentar aos estudantes um tipo de sabedoria que, pela maior parte dos professores de filosofia, não é entendida como parte da filosofia propriamente dita, tal qual é entendida no Ocidente moderno, mas consiste em uma sabedoria tradicional dos povos. Questionar o conceito estreito de filosofia diante das amplas possibilidades de sabedoria dos diferentes povos;</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Apresentar histórias de sabedoria provenientes de diferentes grupos étnicos e culturais que, apesar de não fazerem parte do pensamento dominante do povo colonizador principal do nosso país, são grupos que possuem representação em nossa população através de imigração ou origens ancestrais.</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Específicos:</w:t>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Familiarizar o estudante com as diferentes técnicas de histórias de ensinamento;</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Familiarizar o estudante com a ideia de histórias que não possuem uma única “moral da história”, ou possibilidade de interpretação, mas são polissêmicas, admitindo interpretações, inclusive, divergentes e até opostas;</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Apresentar a interpretação dessas histórias como possibilidades de uso de lógicas diferentes da lógica clássica ensinada tradicionalmente na filosofia;</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Familiarizar o estudante com a sabedoria dos diferentes povos e os modos pelos quais ela se manifesta e é transmitida.</w:t>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10136.0" w:type="dxa"/>
        <w:jc w:val="left"/>
        <w:tblInd w:w="-913.0" w:type="dxa"/>
        <w:tblLayout w:type="fixed"/>
        <w:tblLook w:val="0400"/>
      </w:tblPr>
      <w:tblGrid>
        <w:gridCol w:w="10136"/>
        <w:tblGridChange w:id="0">
          <w:tblGrid>
            <w:gridCol w:w="1013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Metodologia de ensino: aulas expositivas, seminários, aulas ou videoaulas com professores convidados, discussão de filmes, vídeos e textos.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Avaliação: seminários e avaliação final a partir da reelaboração de lendas, contos ou estórias, apresentados à luz das metodologias de construção de contos e explicadas a partir dos métodos de interpretação estudados, em novas linguagens adaptadas a questões e época atual.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Bibliografia Básica: </w:t>
            </w:r>
          </w:p>
          <w:p w:rsidR="00000000" w:rsidDel="00000000" w:rsidP="00000000" w:rsidRDefault="00000000" w:rsidRPr="00000000" w14:paraId="00000070">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Livro das Mil e Uma Noites </w:t>
            </w:r>
            <w:r w:rsidDel="00000000" w:rsidR="00000000" w:rsidRPr="00000000">
              <w:rPr>
                <w:rFonts w:ascii="Times New Roman" w:cs="Times New Roman" w:eastAsia="Times New Roman" w:hAnsi="Times New Roman"/>
                <w:rtl w:val="0"/>
              </w:rPr>
              <w:t xml:space="preserve">–  4 volumes. Traduzido do árabe por Mamede Mustafá Jarouche. São Paulo: Editora Globo, 2005.</w:t>
            </w:r>
          </w:p>
          <w:p w:rsidR="00000000" w:rsidDel="00000000" w:rsidP="00000000" w:rsidRDefault="00000000" w:rsidRPr="00000000" w14:paraId="0000007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Walter. “O contador de histórias”. In </w:t>
            </w:r>
            <w:r w:rsidDel="00000000" w:rsidR="00000000" w:rsidRPr="00000000">
              <w:rPr>
                <w:rFonts w:ascii="Times New Roman" w:cs="Times New Roman" w:eastAsia="Times New Roman" w:hAnsi="Times New Roman"/>
                <w:i w:val="1"/>
                <w:rtl w:val="0"/>
              </w:rPr>
              <w:t xml:space="preserve">A Arte de contar histórias</w:t>
            </w:r>
            <w:r w:rsidDel="00000000" w:rsidR="00000000" w:rsidRPr="00000000">
              <w:rPr>
                <w:rFonts w:ascii="Times New Roman" w:cs="Times New Roman" w:eastAsia="Times New Roman" w:hAnsi="Times New Roman"/>
                <w:rtl w:val="0"/>
              </w:rPr>
              <w:t xml:space="preserve">. São Paulo: Hedra, 2018.</w:t>
            </w:r>
          </w:p>
          <w:p w:rsidR="00000000" w:rsidDel="00000000" w:rsidP="00000000" w:rsidRDefault="00000000" w:rsidRPr="00000000" w14:paraId="0000007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BERGSON, Henri. </w:t>
            </w:r>
            <w:r w:rsidDel="00000000" w:rsidR="00000000" w:rsidRPr="00000000">
              <w:rPr>
                <w:rFonts w:ascii="Times New Roman" w:cs="Times New Roman" w:eastAsia="Times New Roman" w:hAnsi="Times New Roman"/>
                <w:i w:val="1"/>
                <w:rtl w:val="0"/>
              </w:rPr>
              <w:t xml:space="preserve">As Duas Fontes da Moral e da Religião</w:t>
            </w:r>
            <w:r w:rsidDel="00000000" w:rsidR="00000000" w:rsidRPr="00000000">
              <w:rPr>
                <w:rFonts w:ascii="Times New Roman" w:cs="Times New Roman" w:eastAsia="Times New Roman" w:hAnsi="Times New Roman"/>
                <w:rtl w:val="0"/>
              </w:rPr>
              <w:t xml:space="preserve">. Rio de Janeiro Editor: Zahar, 1978.</w:t>
            </w:r>
          </w:p>
          <w:p w:rsidR="00000000" w:rsidDel="00000000" w:rsidP="00000000" w:rsidRDefault="00000000" w:rsidRPr="00000000" w14:paraId="00000073">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BUBER, Martin, </w:t>
            </w:r>
            <w:r w:rsidDel="00000000" w:rsidR="00000000" w:rsidRPr="00000000">
              <w:rPr>
                <w:rFonts w:ascii="Times New Roman" w:cs="Times New Roman" w:eastAsia="Times New Roman" w:hAnsi="Times New Roman"/>
                <w:i w:val="1"/>
                <w:rtl w:val="0"/>
              </w:rPr>
              <w:t xml:space="preserve">Histórias do Rabi</w:t>
            </w:r>
            <w:r w:rsidDel="00000000" w:rsidR="00000000" w:rsidRPr="00000000">
              <w:rPr>
                <w:rFonts w:ascii="Times New Roman" w:cs="Times New Roman" w:eastAsia="Times New Roman" w:hAnsi="Times New Roman"/>
                <w:rtl w:val="0"/>
              </w:rPr>
              <w:t xml:space="preserve">. São Paulo: Perspectiva, 1995.</w:t>
            </w:r>
          </w:p>
          <w:p w:rsidR="00000000" w:rsidDel="00000000" w:rsidP="00000000" w:rsidRDefault="00000000" w:rsidRPr="00000000" w14:paraId="00000074">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GONÇALVES, Ricardo M (org.). </w:t>
            </w:r>
            <w:r w:rsidDel="00000000" w:rsidR="00000000" w:rsidRPr="00000000">
              <w:rPr>
                <w:rFonts w:ascii="Times New Roman" w:cs="Times New Roman" w:eastAsia="Times New Roman" w:hAnsi="Times New Roman"/>
                <w:i w:val="1"/>
                <w:rtl w:val="0"/>
              </w:rPr>
              <w:t xml:space="preserve">Textos budistas e zen-budistas</w:t>
            </w:r>
            <w:r w:rsidDel="00000000" w:rsidR="00000000" w:rsidRPr="00000000">
              <w:rPr>
                <w:rFonts w:ascii="Times New Roman" w:cs="Times New Roman" w:eastAsia="Times New Roman" w:hAnsi="Times New Roman"/>
                <w:rtl w:val="0"/>
              </w:rPr>
              <w:t xml:space="preserve">. 3. ed. São Paulo: Cultrix, 1993.</w:t>
            </w:r>
          </w:p>
          <w:p w:rsidR="00000000" w:rsidDel="00000000" w:rsidP="00000000" w:rsidRDefault="00000000" w:rsidRPr="00000000" w14:paraId="0000007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SHAH, Idries. </w:t>
            </w:r>
            <w:r w:rsidDel="00000000" w:rsidR="00000000" w:rsidRPr="00000000">
              <w:rPr>
                <w:rFonts w:ascii="Times New Roman" w:cs="Times New Roman" w:eastAsia="Times New Roman" w:hAnsi="Times New Roman"/>
                <w:i w:val="1"/>
                <w:rtl w:val="0"/>
              </w:rPr>
              <w:t xml:space="preserve">Histórias  dos Dervixes</w:t>
            </w:r>
            <w:r w:rsidDel="00000000" w:rsidR="00000000" w:rsidRPr="00000000">
              <w:rPr>
                <w:rFonts w:ascii="Times New Roman" w:cs="Times New Roman" w:eastAsia="Times New Roman" w:hAnsi="Times New Roman"/>
                <w:rtl w:val="0"/>
              </w:rPr>
              <w:t xml:space="preserve">. Rio de Janeiro: Nova Fronteira, 1976.</w:t>
            </w:r>
          </w:p>
          <w:p w:rsidR="00000000" w:rsidDel="00000000" w:rsidP="00000000" w:rsidRDefault="00000000" w:rsidRPr="00000000" w14:paraId="00000076">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Complementar (a ser acrescida de outros títulos no decorrer do curso):</w:t>
            </w:r>
          </w:p>
          <w:p w:rsidR="00000000" w:rsidDel="00000000" w:rsidP="00000000" w:rsidRDefault="00000000" w:rsidRPr="00000000" w14:paraId="0000007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(Anônimo) Histórias para ler sem pressa. </w:t>
            </w:r>
            <w:r w:rsidDel="00000000" w:rsidR="00000000" w:rsidRPr="00000000">
              <w:rPr>
                <w:rFonts w:ascii="Times New Roman" w:cs="Times New Roman" w:eastAsia="Times New Roman" w:hAnsi="Times New Roman"/>
                <w:rtl w:val="0"/>
              </w:rPr>
              <w:t xml:space="preserve">Tradução do árabe por Mamede Mustafá Jarouche. São Paulo: Editora Globo, 2008.</w:t>
            </w:r>
          </w:p>
          <w:p w:rsidR="00000000" w:rsidDel="00000000" w:rsidP="00000000" w:rsidRDefault="00000000" w:rsidRPr="00000000" w14:paraId="0000007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AMANCIO, Moacir. O Talmud. São Paulo: Editora Iluminuras Ltda, 1992.</w:t>
            </w:r>
          </w:p>
          <w:p w:rsidR="00000000" w:rsidDel="00000000" w:rsidP="00000000" w:rsidRDefault="00000000" w:rsidRPr="00000000" w14:paraId="0000007A">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BUBER, Martin, </w:t>
            </w:r>
            <w:r w:rsidDel="00000000" w:rsidR="00000000" w:rsidRPr="00000000">
              <w:rPr>
                <w:rFonts w:ascii="Times New Roman" w:cs="Times New Roman" w:eastAsia="Times New Roman" w:hAnsi="Times New Roman"/>
                <w:i w:val="1"/>
                <w:rtl w:val="0"/>
              </w:rPr>
              <w:t xml:space="preserve">Histórias do Rabi Nakhman</w:t>
            </w:r>
            <w:r w:rsidDel="00000000" w:rsidR="00000000" w:rsidRPr="00000000">
              <w:rPr>
                <w:rFonts w:ascii="Times New Roman" w:cs="Times New Roman" w:eastAsia="Times New Roman" w:hAnsi="Times New Roman"/>
                <w:rtl w:val="0"/>
              </w:rPr>
              <w:t xml:space="preserve">. São Paulo: Perspectiva, 2000.</w:t>
            </w:r>
          </w:p>
          <w:p w:rsidR="00000000" w:rsidDel="00000000" w:rsidP="00000000" w:rsidRDefault="00000000" w:rsidRPr="00000000" w14:paraId="0000007B">
            <w:pPr>
              <w:spacing w:after="28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CALDERON, Ruth. </w:t>
            </w:r>
            <w:r w:rsidDel="00000000" w:rsidR="00000000" w:rsidRPr="00000000">
              <w:rPr>
                <w:rFonts w:ascii="Times New Roman" w:cs="Times New Roman" w:eastAsia="Times New Roman" w:hAnsi="Times New Roman"/>
                <w:i w:val="1"/>
                <w:rtl w:val="0"/>
              </w:rPr>
              <w:t xml:space="preserve">A Bride for One Night: Talmud Tales</w:t>
            </w:r>
            <w:r w:rsidDel="00000000" w:rsidR="00000000" w:rsidRPr="00000000">
              <w:rPr>
                <w:rFonts w:ascii="Times New Roman" w:cs="Times New Roman" w:eastAsia="Times New Roman" w:hAnsi="Times New Roman"/>
                <w:rtl w:val="0"/>
              </w:rPr>
              <w:t xml:space="preserve">. translation Ilana Kurshan. New York: Jewish Publication Society, 2001.</w:t>
            </w:r>
          </w:p>
          <w:p w:rsidR="00000000" w:rsidDel="00000000" w:rsidP="00000000" w:rsidRDefault="00000000" w:rsidRPr="00000000" w14:paraId="0000007C">
            <w:pPr>
              <w:spacing w:after="28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HALKA, A. D. H. (Org.) </w:t>
            </w:r>
            <w:r w:rsidDel="00000000" w:rsidR="00000000" w:rsidRPr="00000000">
              <w:rPr>
                <w:rFonts w:ascii="Times New Roman" w:cs="Times New Roman" w:eastAsia="Times New Roman" w:hAnsi="Times New Roman"/>
                <w:i w:val="1"/>
                <w:rtl w:val="0"/>
              </w:rPr>
              <w:t xml:space="preserve">Cuentos de Enseñanza del Maestro Sufi Nasreddin</w:t>
            </w:r>
            <w:r w:rsidDel="00000000" w:rsidR="00000000" w:rsidRPr="00000000">
              <w:rPr>
                <w:rFonts w:ascii="Times New Roman" w:cs="Times New Roman" w:eastAsia="Times New Roman" w:hAnsi="Times New Roman"/>
                <w:rtl w:val="0"/>
              </w:rPr>
              <w:t xml:space="preserve">. Buenos Aires: Dervish International, 1993.</w:t>
            </w:r>
          </w:p>
          <w:p w:rsidR="00000000" w:rsidDel="00000000" w:rsidP="00000000" w:rsidRDefault="00000000" w:rsidRPr="00000000" w14:paraId="0000007D">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HAMILL, Sam; SEATON, J. P. (orgs.). </w:t>
            </w:r>
            <w:r w:rsidDel="00000000" w:rsidR="00000000" w:rsidRPr="00000000">
              <w:rPr>
                <w:rFonts w:ascii="Times New Roman" w:cs="Times New Roman" w:eastAsia="Times New Roman" w:hAnsi="Times New Roman"/>
                <w:i w:val="1"/>
                <w:rtl w:val="0"/>
              </w:rPr>
              <w:t xml:space="preserve">Chuang Tzu</w:t>
            </w:r>
            <w:r w:rsidDel="00000000" w:rsidR="00000000" w:rsidRPr="00000000">
              <w:rPr>
                <w:rFonts w:ascii="Times New Roman" w:cs="Times New Roman" w:eastAsia="Times New Roman" w:hAnsi="Times New Roman"/>
                <w:rtl w:val="0"/>
              </w:rPr>
              <w:t xml:space="preserve"> : Ensinamentos Essenciais. São Paulo: Cultrix, 2005.</w:t>
            </w:r>
          </w:p>
          <w:p w:rsidR="00000000" w:rsidDel="00000000" w:rsidP="00000000" w:rsidRDefault="00000000" w:rsidRPr="00000000" w14:paraId="0000007E">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HARRISON, Victoria. </w:t>
            </w:r>
            <w:r w:rsidDel="00000000" w:rsidR="00000000" w:rsidRPr="00000000">
              <w:rPr>
                <w:rFonts w:ascii="Times New Roman" w:cs="Times New Roman" w:eastAsia="Times New Roman" w:hAnsi="Times New Roman"/>
                <w:i w:val="1"/>
                <w:rtl w:val="0"/>
              </w:rPr>
              <w:t xml:space="preserve">Eastern Philosophy: The Basics</w:t>
            </w:r>
            <w:r w:rsidDel="00000000" w:rsidR="00000000" w:rsidRPr="00000000">
              <w:rPr>
                <w:rFonts w:ascii="Times New Roman" w:cs="Times New Roman" w:eastAsia="Times New Roman" w:hAnsi="Times New Roman"/>
                <w:rtl w:val="0"/>
              </w:rPr>
              <w:t xml:space="preserve">. 2. ed. New York: Routledge, 2019.</w:t>
            </w:r>
          </w:p>
          <w:p w:rsidR="00000000" w:rsidDel="00000000" w:rsidP="00000000" w:rsidRDefault="00000000" w:rsidRPr="00000000" w14:paraId="0000007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LAOZI. </w:t>
            </w:r>
            <w:r w:rsidDel="00000000" w:rsidR="00000000" w:rsidRPr="00000000">
              <w:rPr>
                <w:rFonts w:ascii="Times New Roman" w:cs="Times New Roman" w:eastAsia="Times New Roman" w:hAnsi="Times New Roman"/>
                <w:i w:val="1"/>
                <w:rtl w:val="0"/>
              </w:rPr>
              <w:t xml:space="preserve">Dao De Jing</w:t>
            </w:r>
            <w:r w:rsidDel="00000000" w:rsidR="00000000" w:rsidRPr="00000000">
              <w:rPr>
                <w:rFonts w:ascii="Times New Roman" w:cs="Times New Roman" w:eastAsia="Times New Roman" w:hAnsi="Times New Roman"/>
                <w:rtl w:val="0"/>
              </w:rPr>
              <w:t xml:space="preserve"> : Escritura do Caminho e Escritura da Virtude com os comentários do Senhor às Margens do Rio. Trad. Giorgio Sinedino. São Paulo: Editora Unesp, 2016.</w:t>
            </w:r>
          </w:p>
          <w:p w:rsidR="00000000" w:rsidDel="00000000" w:rsidP="00000000" w:rsidRDefault="00000000" w:rsidRPr="00000000" w14:paraId="00000080">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LOMBA, Joaquín, </w:t>
            </w:r>
            <w:r w:rsidDel="00000000" w:rsidR="00000000" w:rsidRPr="00000000">
              <w:rPr>
                <w:rFonts w:ascii="Times New Roman" w:cs="Times New Roman" w:eastAsia="Times New Roman" w:hAnsi="Times New Roman"/>
                <w:i w:val="1"/>
                <w:rtl w:val="0"/>
              </w:rPr>
              <w:t xml:space="preserve">Dichos y Narraciones de três sabios judios</w:t>
            </w:r>
            <w:r w:rsidDel="00000000" w:rsidR="00000000" w:rsidRPr="00000000">
              <w:rPr>
                <w:rFonts w:ascii="Times New Roman" w:cs="Times New Roman" w:eastAsia="Times New Roman" w:hAnsi="Times New Roman"/>
                <w:rtl w:val="0"/>
              </w:rPr>
              <w:t xml:space="preserve">. Joaquín Lomba Fuentes (org). Zaragoza: Mira Editores, 1997.</w:t>
            </w:r>
          </w:p>
          <w:p w:rsidR="00000000" w:rsidDel="00000000" w:rsidP="00000000" w:rsidRDefault="00000000" w:rsidRPr="00000000" w14:paraId="00000081">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SAADI DE SHIRAZ. </w:t>
            </w:r>
            <w:r w:rsidDel="00000000" w:rsidR="00000000" w:rsidRPr="00000000">
              <w:rPr>
                <w:rFonts w:ascii="Times New Roman" w:cs="Times New Roman" w:eastAsia="Times New Roman" w:hAnsi="Times New Roman"/>
                <w:i w:val="1"/>
                <w:rtl w:val="0"/>
              </w:rPr>
              <w:t xml:space="preserve">O Jardim das Rosas</w:t>
            </w:r>
            <w:r w:rsidDel="00000000" w:rsidR="00000000" w:rsidRPr="00000000">
              <w:rPr>
                <w:rFonts w:ascii="Times New Roman" w:cs="Times New Roman" w:eastAsia="Times New Roman" w:hAnsi="Times New Roman"/>
                <w:rtl w:val="0"/>
              </w:rPr>
              <w:t xml:space="preserve">. Trad. Omar Ali Shah. São Paulo:  Attar Editorial, 2000.</w:t>
            </w:r>
          </w:p>
          <w:p w:rsidR="00000000" w:rsidDel="00000000" w:rsidP="00000000" w:rsidRDefault="00000000" w:rsidRPr="00000000" w14:paraId="0000008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SHAH, Idries. </w:t>
            </w:r>
            <w:r w:rsidDel="00000000" w:rsidR="00000000" w:rsidRPr="00000000">
              <w:rPr>
                <w:rFonts w:ascii="Times New Roman" w:cs="Times New Roman" w:eastAsia="Times New Roman" w:hAnsi="Times New Roman"/>
                <w:i w:val="1"/>
                <w:rtl w:val="0"/>
              </w:rPr>
              <w:t xml:space="preserve">A Sabedoria dos Idiotas</w:t>
            </w:r>
            <w:r w:rsidDel="00000000" w:rsidR="00000000" w:rsidRPr="00000000">
              <w:rPr>
                <w:rFonts w:ascii="Times New Roman" w:cs="Times New Roman" w:eastAsia="Times New Roman" w:hAnsi="Times New Roman"/>
                <w:rtl w:val="0"/>
              </w:rPr>
              <w:t xml:space="preserve">. Editora Tabla, 2016.</w:t>
            </w:r>
          </w:p>
          <w:p w:rsidR="00000000" w:rsidDel="00000000" w:rsidP="00000000" w:rsidRDefault="00000000" w:rsidRPr="00000000" w14:paraId="00000083">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RUMI, Jalaluddin. </w:t>
            </w:r>
            <w:r w:rsidDel="00000000" w:rsidR="00000000" w:rsidRPr="00000000">
              <w:rPr>
                <w:rFonts w:ascii="Times New Roman" w:cs="Times New Roman" w:eastAsia="Times New Roman" w:hAnsi="Times New Roman"/>
                <w:i w:val="1"/>
                <w:rtl w:val="0"/>
              </w:rPr>
              <w:t xml:space="preserve">Masnavi</w:t>
            </w:r>
            <w:r w:rsidDel="00000000" w:rsidR="00000000" w:rsidRPr="00000000">
              <w:rPr>
                <w:rFonts w:ascii="Times New Roman" w:cs="Times New Roman" w:eastAsia="Times New Roman" w:hAnsi="Times New Roman"/>
                <w:rtl w:val="0"/>
              </w:rPr>
              <w:t xml:space="preserve">. Rio de Janeiro: Edições Dervish, 1992.</w:t>
            </w:r>
          </w:p>
          <w:p w:rsidR="00000000" w:rsidDel="00000000" w:rsidP="00000000" w:rsidRDefault="00000000" w:rsidRPr="00000000" w14:paraId="00000084">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WATSON, Burton (org.). </w:t>
            </w:r>
            <w:r w:rsidDel="00000000" w:rsidR="00000000" w:rsidRPr="00000000">
              <w:rPr>
                <w:rFonts w:ascii="Times New Roman" w:cs="Times New Roman" w:eastAsia="Times New Roman" w:hAnsi="Times New Roman"/>
                <w:i w:val="1"/>
                <w:rtl w:val="0"/>
              </w:rPr>
              <w:t xml:space="preserve">Chuang-tzu: escritos básicos</w:t>
            </w:r>
            <w:r w:rsidDel="00000000" w:rsidR="00000000" w:rsidRPr="00000000">
              <w:rPr>
                <w:rFonts w:ascii="Times New Roman" w:cs="Times New Roman" w:eastAsia="Times New Roman" w:hAnsi="Times New Roman"/>
                <w:rtl w:val="0"/>
              </w:rPr>
              <w:t xml:space="preserve">. São Paulo: Cultrix, 1995.</w:t>
            </w:r>
          </w:p>
          <w:p w:rsidR="00000000" w:rsidDel="00000000" w:rsidP="00000000" w:rsidRDefault="00000000" w:rsidRPr="00000000" w14:paraId="0000008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YOSHINORI, Takeuchi. (org.). </w:t>
            </w:r>
            <w:r w:rsidDel="00000000" w:rsidR="00000000" w:rsidRPr="00000000">
              <w:rPr>
                <w:rFonts w:ascii="Times New Roman" w:cs="Times New Roman" w:eastAsia="Times New Roman" w:hAnsi="Times New Roman"/>
                <w:i w:val="1"/>
                <w:rtl w:val="0"/>
              </w:rPr>
              <w:t xml:space="preserve">A espiritualidade budista</w:t>
            </w:r>
            <w:r w:rsidDel="00000000" w:rsidR="00000000" w:rsidRPr="00000000">
              <w:rPr>
                <w:rFonts w:ascii="Times New Roman" w:cs="Times New Roman" w:eastAsia="Times New Roman" w:hAnsi="Times New Roman"/>
                <w:rtl w:val="0"/>
              </w:rPr>
              <w:t xml:space="preserve">. São Paulo: Perspectiva, 2007.</w:t>
            </w:r>
          </w:p>
          <w:p w:rsidR="00000000" w:rsidDel="00000000" w:rsidP="00000000" w:rsidRDefault="00000000" w:rsidRPr="00000000" w14:paraId="00000086">
            <w:pPr>
              <w:spacing w:after="12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Cronograma (opcional): </w:t>
            </w:r>
          </w:p>
          <w:p w:rsidR="00000000" w:rsidDel="00000000" w:rsidP="00000000" w:rsidRDefault="00000000" w:rsidRPr="00000000" w14:paraId="00000088">
            <w:pPr>
              <w:spacing w:before="2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sectPr>
      <w:headerReference r:id="rId8" w:type="defaul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Federal de São Paulo</w:t>
    </w:r>
    <w:r w:rsidDel="00000000" w:rsidR="00000000" w:rsidRPr="00000000">
      <w:drawing>
        <wp:anchor allowOverlap="1" behindDoc="1" distB="0" distT="0" distL="0" distR="0" hidden="0" layoutInCell="1" locked="0" relativeHeight="0" simplePos="0">
          <wp:simplePos x="0" y="0"/>
          <wp:positionH relativeFrom="column">
            <wp:posOffset>4693920</wp:posOffset>
          </wp:positionH>
          <wp:positionV relativeFrom="paragraph">
            <wp:posOffset>-212300</wp:posOffset>
          </wp:positionV>
          <wp:extent cx="1503407" cy="702522"/>
          <wp:effectExtent b="0" l="0" r="0" t="0"/>
          <wp:wrapNone/>
          <wp:docPr descr="Logotipo da EFLCH" id="12" name="image2.png"/>
          <a:graphic>
            <a:graphicData uri="http://schemas.openxmlformats.org/drawingml/2006/picture">
              <pic:pic>
                <pic:nvPicPr>
                  <pic:cNvPr descr="Logotipo da EFLCH" id="0" name="image2.png"/>
                  <pic:cNvPicPr preferRelativeResize="0"/>
                </pic:nvPicPr>
                <pic:blipFill>
                  <a:blip r:embed="rId1"/>
                  <a:srcRect b="0" l="0" r="0" t="0"/>
                  <a:stretch>
                    <a:fillRect/>
                  </a:stretch>
                </pic:blipFill>
                <pic:spPr>
                  <a:xfrm>
                    <a:off x="0" y="0"/>
                    <a:ext cx="1503407" cy="70252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-821054</wp:posOffset>
          </wp:positionH>
          <wp:positionV relativeFrom="paragraph">
            <wp:posOffset>-203833</wp:posOffset>
          </wp:positionV>
          <wp:extent cx="1332406" cy="803910"/>
          <wp:effectExtent b="0" l="0" r="0" t="0"/>
          <wp:wrapNone/>
          <wp:docPr descr="Manual da Marca Unifesp - Comunicação" id="9" name="image3.png"/>
          <a:graphic>
            <a:graphicData uri="http://schemas.openxmlformats.org/drawingml/2006/picture">
              <pic:pic>
                <pic:nvPicPr>
                  <pic:cNvPr descr="Manual da Marca Unifesp - Comunicação" id="0" name="image3.png"/>
                  <pic:cNvPicPr preferRelativeResize="0"/>
                </pic:nvPicPr>
                <pic:blipFill>
                  <a:blip r:embed="rId2"/>
                  <a:srcRect b="0" l="0" r="0" t="0"/>
                  <a:stretch>
                    <a:fillRect/>
                  </a:stretch>
                </pic:blipFill>
                <pic:spPr>
                  <a:xfrm>
                    <a:off x="0" y="0"/>
                    <a:ext cx="1332406" cy="803910"/>
                  </a:xfrm>
                  <a:prstGeom prst="rect"/>
                  <a:ln/>
                </pic:spPr>
              </pic:pic>
            </a:graphicData>
          </a:graphic>
        </wp:anchor>
      </w:drawing>
    </w:r>
  </w:p>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Escola de Filosofia, Letras e Ciências Humanas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Guarulhos</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4C264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har"/>
    <w:uiPriority w:val="9"/>
    <w:unhideWhenUsed w:val="1"/>
    <w:qFormat w:val="1"/>
    <w:rsid w:val="004C264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3051AF"/>
    <w:pPr>
      <w:spacing w:after="100" w:afterAutospacing="1" w:before="100" w:beforeAutospacing="1"/>
    </w:pPr>
    <w:rPr>
      <w:rFonts w:ascii="Times New Roman" w:cs="Times New Roman" w:eastAsia="Times New Roman" w:hAnsi="Times New Roman"/>
      <w:lang w:eastAsia="pt-BR"/>
    </w:rPr>
  </w:style>
  <w:style w:type="paragraph" w:styleId="SemEspaamento">
    <w:name w:val="No Spacing"/>
    <w:uiPriority w:val="1"/>
    <w:qFormat w:val="1"/>
    <w:rsid w:val="004C2648"/>
  </w:style>
  <w:style w:type="character" w:styleId="Ttulo1Char" w:customStyle="1">
    <w:name w:val="Título 1 Char"/>
    <w:basedOn w:val="Fontepargpadro"/>
    <w:link w:val="Ttulo1"/>
    <w:uiPriority w:val="9"/>
    <w:rsid w:val="004C2648"/>
    <w:rPr>
      <w:rFonts w:asciiTheme="majorHAnsi" w:cstheme="majorBidi" w:eastAsiaTheme="majorEastAsia" w:hAnsiTheme="majorHAnsi"/>
      <w:color w:val="2f5496" w:themeColor="accent1" w:themeShade="0000BF"/>
      <w:sz w:val="32"/>
      <w:szCs w:val="32"/>
    </w:rPr>
  </w:style>
  <w:style w:type="character" w:styleId="Ttulo2Char" w:customStyle="1">
    <w:name w:val="Título 2 Char"/>
    <w:basedOn w:val="Fontepargpadro"/>
    <w:link w:val="Ttulo2"/>
    <w:uiPriority w:val="9"/>
    <w:rsid w:val="004C2648"/>
    <w:rPr>
      <w:rFonts w:asciiTheme="majorHAnsi" w:cstheme="majorBidi" w:eastAsiaTheme="majorEastAsia" w:hAnsiTheme="majorHAnsi"/>
      <w:color w:val="2f5496" w:themeColor="accent1" w:themeShade="0000BF"/>
      <w:sz w:val="26"/>
      <w:szCs w:val="26"/>
    </w:rPr>
  </w:style>
  <w:style w:type="paragraph" w:styleId="Cabealho">
    <w:name w:val="header"/>
    <w:basedOn w:val="Normal"/>
    <w:link w:val="CabealhoChar"/>
    <w:uiPriority w:val="99"/>
    <w:unhideWhenUsed w:val="1"/>
    <w:rsid w:val="00C6710B"/>
    <w:pPr>
      <w:tabs>
        <w:tab w:val="center" w:pos="4252"/>
        <w:tab w:val="right" w:pos="8504"/>
      </w:tabs>
    </w:pPr>
  </w:style>
  <w:style w:type="character" w:styleId="CabealhoChar" w:customStyle="1">
    <w:name w:val="Cabeçalho Char"/>
    <w:basedOn w:val="Fontepargpadro"/>
    <w:link w:val="Cabealho"/>
    <w:uiPriority w:val="99"/>
    <w:rsid w:val="00C6710B"/>
  </w:style>
  <w:style w:type="paragraph" w:styleId="Rodap">
    <w:name w:val="footer"/>
    <w:basedOn w:val="Normal"/>
    <w:link w:val="RodapChar"/>
    <w:uiPriority w:val="99"/>
    <w:unhideWhenUsed w:val="1"/>
    <w:rsid w:val="00C6710B"/>
    <w:pPr>
      <w:tabs>
        <w:tab w:val="center" w:pos="4252"/>
        <w:tab w:val="right" w:pos="8504"/>
      </w:tabs>
    </w:pPr>
  </w:style>
  <w:style w:type="character" w:styleId="RodapChar" w:customStyle="1">
    <w:name w:val="Rodapé Char"/>
    <w:basedOn w:val="Fontepargpadro"/>
    <w:link w:val="Rodap"/>
    <w:uiPriority w:val="99"/>
    <w:rsid w:val="00C6710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HDJdR1T23QQFpI/tOxd6OVlWYQ==">CgMxLjA4AHIhMUhyTVJXa05tRmdCbFFscDI0dU9pWWo5X1daU3I1UUpO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2023-10-23T17:30:00Z</dcterms:created>
  <dc:creator>Anônimo</dc:creator>
</cp:coreProperties>
</file>