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6.0" w:type="dxa"/>
        <w:jc w:val="left"/>
        <w:tblInd w:w="-882.0" w:type="dxa"/>
        <w:tblLayout w:type="fixed"/>
        <w:tblLook w:val="0600"/>
      </w:tblPr>
      <w:tblGrid>
        <w:gridCol w:w="3759"/>
        <w:gridCol w:w="2642"/>
        <w:gridCol w:w="3695"/>
        <w:tblGridChange w:id="0">
          <w:tblGrid>
            <w:gridCol w:w="3759"/>
            <w:gridCol w:w="2642"/>
            <w:gridCol w:w="369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Campus: Guarulhos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 (s): Filosofia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Unidade Curricular (UC):  Filosofia, Ensino e Formação I - O romance em Goethe, Stendhal e Flaubert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rPr>
                <w:i w:val="0"/>
                <w:color w:val="1c1c1c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1c1c1c"/>
                <w:rtl w:val="0"/>
              </w:rPr>
              <w:t xml:space="preserve">Unidade Curricular (UC):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Unidade Curricular (UC):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Código da UC:  6141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Responsável/Departamento:  Arlenice Almeida da Silva/ Departamento de Filosofia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Contato (e-mail) (opcional):  arlenice.almeida@unifesp.br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Docente(s) Colaborador(es)/Departamento(s):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Contato (e-mail) (opcional):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 letivo: 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Termo: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Turno: vespertino/noturno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Grupo/Módulo/Eixo da UC (se houver):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Idioma em que a UC será oferecida: 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X ) Português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English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Español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Français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Libras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Outros:</w:t>
            </w:r>
          </w:p>
        </w:tc>
      </w:tr>
      <w:tr>
        <w:trPr>
          <w:cantSplit w:val="0"/>
          <w:trHeight w:val="13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UC: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X) Fixa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) Eletiva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Optativa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Oferecida como: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(X) Disciplina</w:t>
              <w:br w:type="textWrapping"/>
              <w:t xml:space="preserve">(  ) Módulo</w:t>
              <w:br w:type="textWrapping"/>
              <w:t xml:space="preserve">(  ) Estágio 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Outro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Oferta da UC: 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x ) Semestral (  ) Anual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Virtual de Aprendizagem: (  ) Moodle</w:t>
              <w:br w:type="textWrapping"/>
              <w:t xml:space="preserve">(  ) Classroom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Outro 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X ) Não se aplica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Pré-Requisito (s) - Indicar Código e Nome da UC: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horária total (em horas):  90horas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horária teórica (em horas):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horária prática (em horas):   17 horas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horária de extensão (em horas):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houver atividades de extensão, indicar código e nome do projeto ou programa vinculado na Pró-Reitoria de Extensão e Cultura (Proec):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curso visa discutir o conceito de formação em seu sentido mais abrangente e sua relação com o ensino em autores da história da filosofia..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280" w:lineRule="auto"/>
              <w:rPr>
                <w:i w:val="0"/>
                <w:color w:val="1c1c1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Conteúdo programático: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="360" w:lineRule="auto"/>
              <w:ind w:left="11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Introdução: o conceito 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Bildung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 romantismo e no idealismo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360" w:lineRule="auto"/>
              <w:ind w:left="11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 romance  de formação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Teoria do romance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de G. Lukács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240" w:before="240" w:line="360" w:lineRule="auto"/>
              <w:ind w:left="11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Goethe: Os sofrimentos do jovem Werther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40" w:before="240" w:line="360" w:lineRule="auto"/>
              <w:ind w:left="11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Stendhal: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 vermelho e o Negro.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360" w:lineRule="auto"/>
              <w:ind w:left="11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Flaubert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:   Um coração simples.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240" w:before="240" w:line="360" w:lineRule="auto"/>
              <w:ind w:left="76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240" w:before="240" w:line="360" w:lineRule="auto"/>
              <w:ind w:left="4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80" w:before="280" w:lineRule="auto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280" w:before="28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Apresentar o conceito 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Bildung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(formação) nos textos estéticos de Schlegel, Hegel e Lukács,  buscando caracterizá-lo como o processo múltiplo de formação por meio do qual o sujeito moderno, no movimento de descoberta do mundo e de si mesmo, entrelaça o particular ao universal; ou seja,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Bildung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como formação cultural,  formação de um indivíduo  e, sobretudo, como procedimento crítico diante do mundo.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360" w:lineRule="auto"/>
              <w:ind w:left="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Confrontar  o conceito com  exemplos  históricos, em romances e contos, diferenciando  sentidos e usos do termo, tais como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Bildungsroman,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(romance de formação)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Erziehungsroman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(romance de educação) 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Entwicklungsroman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(romance de desenvolvimento/ transformação)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360" w:lineRule="auto"/>
              <w:ind w:left="4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28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Específicos: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28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-Examinar o tema da formação no romance  “Os  sofrimentos do Jovem Werther”. de Goethe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40" w:before="240" w:line="360" w:lineRule="auto"/>
              <w:ind w:left="4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Examinar  o processo de formação cultural no romance de Stendhal,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 vermelho e o Negro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240" w:before="240" w:line="360" w:lineRule="auto"/>
              <w:ind w:left="4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-Examinar  no conto  “Um coração simples” de  de Flaubert  o  conflito entre indivíduo e o mundo. .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28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912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Metodologia de ensino:  aulas expositivas e seminários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Avaliação:  Trabalho final dissertativo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Bibliografia: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80" w:before="280" w:lineRule="auto"/>
              <w:ind w:left="735" w:right="0" w:hanging="735"/>
              <w:rPr>
                <w:rFonts w:ascii="Times New Roman" w:cs="Times New Roman" w:eastAsia="Times New Roman" w:hAnsi="Times New Roman"/>
                <w:b w:val="1"/>
                <w:color w:val="1c1c1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1c1c1c"/>
                <w:sz w:val="22"/>
                <w:szCs w:val="22"/>
                <w:rtl w:val="0"/>
              </w:rPr>
              <w:t xml:space="preserve">Básica: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GOETHE, J.W.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Os sofrimentos do jovem Werther.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 São Paulo: Nova Alexandria, 1999.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STENDHAL,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O vermelho e o negro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. São Paulo: Cosacnaify, 2003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FLAUBERT, Gustave,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Um coração simples.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São Paulo: Cosacnaify, 2011.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KAFKA, Franz,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Narrativas do espólio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. São Paulo: Companhia das Letras, 2002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LUKÁCS, György.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A teoria do romance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. São Paulo: Editora 34, 2000.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SCHLEGEL, Friedrich,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 dialeto  dos Fragmentos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. São Paulo: Iluminuras, 1997.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HEGEL, G.W.F.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c1c1c"/>
                <w:sz w:val="22"/>
                <w:szCs w:val="22"/>
                <w:rtl w:val="0"/>
              </w:rPr>
              <w:t xml:space="preserve">Cursos de Estética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. São Paulo: Edusp, 1999.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40" w:before="320" w:lineRule="auto"/>
              <w:jc w:val="both"/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8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Complementar: 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ANDERS, Günther,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Kafka: pró &amp; contra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São Paulo: Cosacnaify, 2007.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BUTOR, Michel,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Répertoire Littéraire.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Paris: Gallimard,  1996.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BERMAN, Antoine,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Bildung  et Bildungsroman. Le temps de la réflexion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Paris: 1984.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CASSIRER, Ernest,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filosofia do Iluminismo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Campinas: Editora da Unicamp, 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DUBOIS, Jacques,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Les romanciers du réel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De Balzac à Simenon. Paris: Éditions du Seuil, 2000.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JAUSS, Hans Robert,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Pour une hermenéutique littéraire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Paris: Gallimard, 1982.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JIMENEZ, Marc,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 que é estética?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São Leopoldo, RS: Ed. UNISINOS, 1999.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MORETTI, Franco,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Il romanzo di formazione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Turim: Einaudi, 1999.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 burguês. Entre a história e a literatura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São Paulo: Três estrelas, 2014.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PRADO JÚNIOR, Bento. Romance, moral e política no Século das Luzes.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Discurso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São Paulo, Polis, n.17, 1988.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RICHARD, Jean-Pierre.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Littérature et sensation.Stendhal, Flaubert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Paris: Éditions Du Seuil, 1970.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240" w:before="240" w:line="360" w:lineRule="auto"/>
              <w:ind w:left="440" w:hanging="2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28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ind w:left="720" w:right="0" w:hanging="720"/>
              <w:rPr>
                <w:rFonts w:ascii="Serif" w:cs="Serif" w:eastAsia="Serif" w:hAnsi="Serif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Serif" w:cs="Serif" w:eastAsia="Serif" w:hAnsi="Serif"/>
                <w:b w:val="0"/>
                <w:i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Cronograma (opcional): 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São Paulo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4693920</wp:posOffset>
          </wp:positionH>
          <wp:positionV relativeFrom="paragraph">
            <wp:posOffset>-212087</wp:posOffset>
          </wp:positionV>
          <wp:extent cx="1503045" cy="702310"/>
          <wp:effectExtent b="0" l="0" r="0" t="0"/>
          <wp:wrapNone/>
          <wp:docPr descr="Logotipo da EFLCH" id="7" name="image1.png"/>
          <a:graphic>
            <a:graphicData uri="http://schemas.openxmlformats.org/drawingml/2006/picture">
              <pic:pic>
                <pic:nvPicPr>
                  <pic:cNvPr descr="Logotipo da EFLCH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045" cy="702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-821051</wp:posOffset>
          </wp:positionH>
          <wp:positionV relativeFrom="paragraph">
            <wp:posOffset>-203831</wp:posOffset>
          </wp:positionV>
          <wp:extent cx="1332230" cy="803910"/>
          <wp:effectExtent b="0" l="0" r="0" t="0"/>
          <wp:wrapNone/>
          <wp:docPr descr="Manual da Marca Unifesp - Comunicação" id="8" name="image2.png"/>
          <a:graphic>
            <a:graphicData uri="http://schemas.openxmlformats.org/drawingml/2006/picture">
              <pic:pic>
                <pic:nvPicPr>
                  <pic:cNvPr descr="Manual da Marca Unifesp - Comunicação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2230" cy="803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Escola de Filosofia, Letras e Ciências Humanas</w:t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Guarulhos</w:t>
    </w:r>
  </w:p>
  <w:p w:rsidR="00000000" w:rsidDel="00000000" w:rsidP="00000000" w:rsidRDefault="00000000" w:rsidRPr="00000000" w14:paraId="00000083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C2648"/>
    <w:pPr>
      <w:keepNext w:val="1"/>
      <w:keepLines w:val="1"/>
      <w:spacing w:after="0" w:before="240"/>
      <w:outlineLvl w:val="0"/>
    </w:pPr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C2648"/>
    <w:pPr>
      <w:keepNext w:val="1"/>
      <w:keepLines w:val="1"/>
      <w:spacing w:after="0" w:before="40"/>
      <w:outlineLvl w:val="1"/>
    </w:pPr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1Char" w:customStyle="1">
    <w:name w:val="Título 1 Char"/>
    <w:basedOn w:val="DefaultParagraphFont"/>
    <w:uiPriority w:val="9"/>
    <w:qFormat w:val="1"/>
    <w:rsid w:val="004C2648"/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2Char" w:customStyle="1">
    <w:name w:val="Título 2 Char"/>
    <w:basedOn w:val="DefaultParagraphFont"/>
    <w:uiPriority w:val="9"/>
    <w:qFormat w:val="1"/>
    <w:rsid w:val="004C2648"/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CabealhoChar" w:customStyle="1">
    <w:name w:val="Cabeçalho Char"/>
    <w:basedOn w:val="DefaultParagraphFont"/>
    <w:uiPriority w:val="99"/>
    <w:qFormat w:val="1"/>
    <w:rsid w:val="00C6710B"/>
    <w:rPr/>
  </w:style>
  <w:style w:type="character" w:styleId="RodapChar" w:customStyle="1">
    <w:name w:val="Rodapé Char"/>
    <w:basedOn w:val="DefaultParagraphFont"/>
    <w:uiPriority w:val="99"/>
    <w:qFormat w:val="1"/>
    <w:rsid w:val="00C6710B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3051AF"/>
    <w:pPr>
      <w:spacing w:afterAutospacing="1" w:beforeAutospacing="1"/>
    </w:pPr>
    <w:rPr>
      <w:rFonts w:ascii="Times New Roman" w:cs="Times New Roman" w:eastAsia="Times New Roman" w:hAnsi="Times New Roman"/>
      <w:lang w:eastAsia="pt-BR"/>
    </w:rPr>
  </w:style>
  <w:style w:type="paragraph" w:styleId="NoSpacing">
    <w:name w:val="No Spacing"/>
    <w:uiPriority w:val="1"/>
    <w:qFormat w:val="1"/>
    <w:rsid w:val="004C2648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C6710B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C6710B"/>
    <w:pPr>
      <w:tabs>
        <w:tab w:val="clear" w:pos="708"/>
        <w:tab w:val="center" w:leader="none" w:pos="4252"/>
        <w:tab w:val="right" w:leader="none" w:pos="8504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AXxYYWOEsBIGUR17P2ECW5YOg==">CgMxLjA4AHIhMURUZGVHUGU5MkpucXdNN0hIcDFjQkUzTjZhOFkzZEpY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2021-12-15T14:30:00Z</dcterms:created>
  <dc:creator>Anônimo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