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9.999999999998" w:type="dxa"/>
        <w:jc w:val="left"/>
        <w:tblInd w:w="-882.0" w:type="dxa"/>
        <w:tblLayout w:type="fixed"/>
        <w:tblLook w:val="0600"/>
      </w:tblPr>
      <w:tblGrid>
        <w:gridCol w:w="3759"/>
        <w:gridCol w:w="2642"/>
        <w:gridCol w:w="3829"/>
        <w:tblGridChange w:id="0">
          <w:tblGrid>
            <w:gridCol w:w="3759"/>
            <w:gridCol w:w="2642"/>
            <w:gridCol w:w="3829"/>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Guarulhos</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 (s): Filosofia</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w:t>
            </w:r>
            <w:r w:rsidDel="00000000" w:rsidR="00000000" w:rsidRPr="00000000">
              <w:rPr>
                <w:rtl w:val="0"/>
              </w:rPr>
              <w:t xml:space="preserve">Temas Contemporâneos de Filosofia I</w:t>
            </w: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Código da UC: 8554</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Docente Responsável/Departamento: Alexandre de Oliveira Ferreira/ Filosofia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Contato:alexandre.ferreira@unifesp.br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 letivo: 2024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Turno: vespertino/noturno</w:t>
            </w:r>
          </w:p>
        </w:tc>
      </w:tr>
      <w:tr>
        <w:trPr>
          <w:cantSplit w:val="0"/>
          <w:trHeight w:val="6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Grupo/Módulo/Eixo da UC (se houver):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Idioma em que a UC será oferecida: </w:t>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Português</w:t>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tl w:val="0"/>
              </w:rPr>
            </w:r>
          </w:p>
        </w:tc>
      </w:tr>
      <w:tr>
        <w:trPr>
          <w:cantSplit w:val="0"/>
          <w:trHeight w:val="13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w:t>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Fixa</w:t>
            </w:r>
          </w:p>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Eletiva</w:t>
            </w:r>
          </w:p>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Optativa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Oferecida como:</w:t>
            </w:r>
          </w:p>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Disciplina</w:t>
              <w:br w:type="textWrapping"/>
              <w:t xml:space="preserve">(  ) Módulo</w:t>
              <w:br w:type="textWrapping"/>
              <w:t xml:space="preserve">(  ) Estágio </w:t>
            </w:r>
          </w:p>
          <w:p w:rsidR="00000000" w:rsidDel="00000000" w:rsidP="00000000" w:rsidRDefault="00000000" w:rsidRPr="00000000" w14:paraId="000000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da UC: </w:t>
            </w:r>
          </w:p>
          <w:p w:rsidR="00000000" w:rsidDel="00000000" w:rsidP="00000000" w:rsidRDefault="00000000" w:rsidRPr="00000000" w14:paraId="000000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 Semestral (  ) Anual</w:t>
            </w:r>
          </w:p>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Ambiente Virtual de Aprendizagem: (  ) Moodle</w:t>
              <w:br w:type="textWrapping"/>
              <w:t xml:space="preserve">(  ) Classroom</w:t>
            </w:r>
          </w:p>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 </w:t>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 Não se aplica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Pré-Requisito (s) - Indicar Código e Nome da UC: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total (em horas): 90horas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teórica (em horas): 73horas</w:t>
            </w:r>
          </w:p>
          <w:p w:rsidR="00000000" w:rsidDel="00000000" w:rsidP="00000000" w:rsidRDefault="00000000" w:rsidRPr="00000000" w14:paraId="0000002F">
            <w:pPr>
              <w:widowControl w:val="0"/>
              <w:spacing w:before="280"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prática (em horas):  17horas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de extensão (em horas): </w:t>
            </w:r>
          </w:p>
          <w:p w:rsidR="00000000" w:rsidDel="00000000" w:rsidP="00000000" w:rsidRDefault="00000000" w:rsidRPr="00000000" w14:paraId="00000032">
            <w:pPr>
              <w:widowControl w:val="0"/>
              <w:spacing w:before="28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Ementa: </w:t>
            </w:r>
          </w:p>
          <w:p w:rsidR="00000000" w:rsidDel="00000000" w:rsidP="00000000" w:rsidRDefault="00000000" w:rsidRPr="00000000" w14:paraId="00000034">
            <w:pPr>
              <w:widowControl w:val="0"/>
              <w:spacing w:after="280" w:before="280" w:lineRule="auto"/>
              <w:rPr>
                <w:rFonts w:ascii="Times New Roman" w:cs="Times New Roman" w:eastAsia="Times New Roman" w:hAnsi="Times New Roman"/>
              </w:rPr>
            </w:pPr>
            <w:r w:rsidDel="00000000" w:rsidR="00000000" w:rsidRPr="00000000">
              <w:rPr>
                <w:rtl w:val="0"/>
              </w:rPr>
              <w:t xml:space="preserve">Ementa: 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 A disciplina dará especial atenção aos conteúdos transversais: direitos humanos, educação das relações étnico-raciais e educação ambiental, história e cultura afro-brasileira e indígena.</w:t>
            </w:r>
            <w:r w:rsidDel="00000000" w:rsidR="00000000" w:rsidRPr="00000000">
              <w:rPr>
                <w:rtl w:val="0"/>
              </w:rPr>
            </w:r>
          </w:p>
          <w:p w:rsidR="00000000" w:rsidDel="00000000" w:rsidP="00000000" w:rsidRDefault="00000000" w:rsidRPr="00000000" w14:paraId="00000035">
            <w:pPr>
              <w:widowControl w:val="0"/>
              <w:spacing w:before="280" w:lineRule="auto"/>
              <w:rPr>
                <w:color w:val="1c1c1c"/>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Conteúdo programático: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Introdução à filosofia da técnica e da tecnologia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Cassirer e a técnica como forma simbólica: autonomia da técnica x autonomia da vontade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Heidegger, técnica, metafísica e história do ser.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Ellul: O domínio total da técnica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Hans Jonas: técnica e responsabilidade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Objetivos: </w:t>
            </w:r>
          </w:p>
          <w:p w:rsidR="00000000" w:rsidDel="00000000" w:rsidP="00000000" w:rsidRDefault="00000000" w:rsidRPr="00000000" w14:paraId="00000044">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Gerais:</w:t>
            </w:r>
          </w:p>
          <w:p w:rsidR="00000000" w:rsidDel="00000000" w:rsidP="00000000" w:rsidRDefault="00000000" w:rsidRPr="00000000" w14:paraId="00000045">
            <w:pPr>
              <w:spacing w:after="120" w:lineRule="auto"/>
              <w:jc w:val="both"/>
              <w:rPr>
                <w:rFonts w:ascii="Times New Roman" w:cs="Times New Roman" w:eastAsia="Times New Roman" w:hAnsi="Times New Roman"/>
              </w:rPr>
            </w:pPr>
            <w:r w:rsidDel="00000000" w:rsidR="00000000" w:rsidRPr="00000000">
              <w:rPr>
                <w:rtl w:val="0"/>
              </w:rPr>
              <w:t xml:space="preserve">O curso tem o objetivo de servir como introdução à filosofia da técnica e da tecnologia e, ao mesmo tempo, iniciar uma reflexão sobre a condição humana na era tecnológica, </w:t>
            </w:r>
            <w:r w:rsidDel="00000000" w:rsidR="00000000" w:rsidRPr="00000000">
              <w:rPr>
                <w:rFonts w:ascii="Times New Roman" w:cs="Times New Roman" w:eastAsia="Times New Roman" w:hAnsi="Times New Roman"/>
                <w:rtl w:val="0"/>
              </w:rPr>
              <w:t xml:space="preserve">pensando a atualidade e validade das concepções filosóficas desses autores e suas implicações éticas.</w:t>
            </w:r>
          </w:p>
          <w:p w:rsidR="00000000" w:rsidDel="00000000" w:rsidP="00000000" w:rsidRDefault="00000000" w:rsidRPr="00000000" w14:paraId="00000046">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Específicos:</w:t>
            </w:r>
          </w:p>
          <w:p w:rsidR="00000000" w:rsidDel="00000000" w:rsidP="00000000" w:rsidRDefault="00000000" w:rsidRPr="00000000" w14:paraId="00000047">
            <w:pPr>
              <w:widowControl w:val="0"/>
              <w:spacing w:before="280" w:lineRule="auto"/>
              <w:rPr>
                <w:rFonts w:ascii="Times New Roman" w:cs="Times New Roman" w:eastAsia="Times New Roman" w:hAnsi="Times New Roman"/>
              </w:rPr>
            </w:pPr>
            <w:r w:rsidDel="00000000" w:rsidR="00000000" w:rsidRPr="00000000">
              <w:rPr>
                <w:rtl w:val="0"/>
              </w:rPr>
              <w:t xml:space="preserve">O curso propõe um recorte no vasto campo de investigação que é a filosofia da técnica, selecionando alguns autores clássicos para os quais a técnica envolve fundamentalmente a questão da liberdade humana. Assim, confrontaremos textos de filósofos para os quais a vontade humana tem alguma autonomia em relação à técnica (Cassirer e Hans Jonas) com textos daqueles para aos quais o domínio da técnica é quase absoluto (Heidegger e Ellul).</w:t>
            </w: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10136.0" w:type="dxa"/>
        <w:jc w:val="left"/>
        <w:tblInd w:w="-912.0" w:type="dxa"/>
        <w:tblLayout w:type="fixed"/>
        <w:tblLook w:val="0400"/>
      </w:tblPr>
      <w:tblGrid>
        <w:gridCol w:w="10136"/>
        <w:tblGridChange w:id="0">
          <w:tblGrid>
            <w:gridCol w:w="1013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Metodologia de ensino: Aulas expositivas, seminários e discussão em sala de aula.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Avaliação: Trabalho escrito; seminário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Bibliografia: </w:t>
            </w:r>
          </w:p>
          <w:p w:rsidR="00000000" w:rsidDel="00000000" w:rsidP="00000000" w:rsidRDefault="00000000" w:rsidRPr="00000000" w14:paraId="0000004E">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c1c1c"/>
                <w:sz w:val="22"/>
                <w:szCs w:val="22"/>
                <w:rtl w:val="0"/>
              </w:rPr>
              <w:t xml:space="preserve">Básica: </w:t>
            </w:r>
            <w:r w:rsidDel="00000000" w:rsidR="00000000" w:rsidRPr="00000000">
              <w:rPr>
                <w:rtl w:val="0"/>
              </w:rPr>
            </w:r>
          </w:p>
          <w:p w:rsidR="00000000" w:rsidDel="00000000" w:rsidP="00000000" w:rsidRDefault="00000000" w:rsidRPr="00000000" w14:paraId="0000004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CASSIRER, E. “Forma e Técnica.” In: Natureza Humana, São Paulo, v. 24, n.1. pp.1-39, jan.- dez, 2022</w:t>
            </w:r>
          </w:p>
          <w:p w:rsidR="00000000" w:rsidDel="00000000" w:rsidP="00000000" w:rsidRDefault="00000000" w:rsidRPr="00000000" w14:paraId="00000050">
            <w:pPr>
              <w:spacing w:after="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ELLUL, J. </w:t>
            </w:r>
            <w:r w:rsidDel="00000000" w:rsidR="00000000" w:rsidRPr="00000000">
              <w:rPr>
                <w:rFonts w:ascii="Times New Roman" w:cs="Times New Roman" w:eastAsia="Times New Roman" w:hAnsi="Times New Roman"/>
                <w:i w:val="1"/>
                <w:highlight w:val="white"/>
                <w:rtl w:val="0"/>
              </w:rPr>
              <w:t xml:space="preserve">A técnica e o desafio do século.</w:t>
            </w:r>
            <w:r w:rsidDel="00000000" w:rsidR="00000000" w:rsidRPr="00000000">
              <w:rPr>
                <w:rFonts w:ascii="Times New Roman" w:cs="Times New Roman" w:eastAsia="Times New Roman" w:hAnsi="Times New Roman"/>
                <w:highlight w:val="white"/>
                <w:rtl w:val="0"/>
              </w:rPr>
              <w:t xml:space="preserve"> Rio de Janeiro, Paz e Terra, 1968.</w:t>
            </w:r>
          </w:p>
          <w:p w:rsidR="00000000" w:rsidDel="00000000" w:rsidP="00000000" w:rsidRDefault="00000000" w:rsidRPr="00000000" w14:paraId="00000051">
            <w:pPr>
              <w:spacing w:after="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HEIDEGGER, M. A “Questão da Técnica.” Scientiae Studia, 5, 3, p. 375-98, 2007.</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JONAS, H. </w:t>
            </w:r>
            <w:r w:rsidDel="00000000" w:rsidR="00000000" w:rsidRPr="00000000">
              <w:rPr>
                <w:rFonts w:ascii="Times New Roman" w:cs="Times New Roman" w:eastAsia="Times New Roman" w:hAnsi="Times New Roman"/>
                <w:i w:val="1"/>
                <w:rtl w:val="0"/>
              </w:rPr>
              <w:t xml:space="preserve">O princípio responsabilidade</w:t>
            </w:r>
            <w:r w:rsidDel="00000000" w:rsidR="00000000" w:rsidRPr="00000000">
              <w:rPr>
                <w:rFonts w:ascii="Times New Roman" w:cs="Times New Roman" w:eastAsia="Times New Roman" w:hAnsi="Times New Roman"/>
                <w:rtl w:val="0"/>
              </w:rPr>
              <w:t xml:space="preserve">. Rio de Janeiro, Contraponto, 2006</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w:t>
            </w:r>
            <w:r w:rsidDel="00000000" w:rsidR="00000000" w:rsidRPr="00000000">
              <w:rPr>
                <w:rFonts w:ascii="Times New Roman" w:cs="Times New Roman" w:eastAsia="Times New Roman" w:hAnsi="Times New Roman"/>
                <w:i w:val="1"/>
                <w:rtl w:val="0"/>
              </w:rPr>
              <w:t xml:space="preserve">Ensaios filosóficos</w:t>
            </w:r>
            <w:r w:rsidDel="00000000" w:rsidR="00000000" w:rsidRPr="00000000">
              <w:rPr>
                <w:rFonts w:ascii="Times New Roman" w:cs="Times New Roman" w:eastAsia="Times New Roman" w:hAnsi="Times New Roman"/>
                <w:rtl w:val="0"/>
              </w:rPr>
              <w:t xml:space="preserve">. São Paulo, Paulus, 2017.</w:t>
            </w:r>
          </w:p>
          <w:p w:rsidR="00000000" w:rsidDel="00000000" w:rsidP="00000000" w:rsidRDefault="00000000" w:rsidRPr="00000000" w14:paraId="00000055">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Complementar:</w:t>
            </w:r>
          </w:p>
          <w:p w:rsidR="00000000" w:rsidDel="00000000" w:rsidP="00000000" w:rsidRDefault="00000000" w:rsidRPr="00000000" w14:paraId="00000056">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Oliveira, Jelson (org.) Filosofia da Tecnologia; Seus autores e problemas. Caxias do Sul: Educs, 2020.</w:t>
            </w:r>
          </w:p>
          <w:p w:rsidR="00000000" w:rsidDel="00000000" w:rsidP="00000000" w:rsidRDefault="00000000" w:rsidRPr="00000000" w14:paraId="00000057">
            <w:pPr>
              <w:widowControl w:val="0"/>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Serif" w:cs="Serif" w:eastAsia="Serif" w:hAnsi="Serif"/>
                <w:sz w:val="22"/>
                <w:szCs w:val="22"/>
                <w:rtl w:val="0"/>
              </w:rPr>
              <w:t xml:space="preserve">Scharff Robert, C. /Dusek, V. (org).  Philosophy of Thechnology. UK: Wiley Blackwell, 2014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Cronograma (opcional): </w:t>
            </w:r>
          </w:p>
          <w:p w:rsidR="00000000" w:rsidDel="00000000" w:rsidP="00000000" w:rsidRDefault="00000000" w:rsidRPr="00000000" w14:paraId="00000059">
            <w:pPr>
              <w:widowControl w:val="0"/>
              <w:spacing w:before="2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sectPr>
      <w:headerReference r:id="rId7" w:type="default"/>
      <w:pgSz w:h="16838" w:w="11906" w:orient="portrait"/>
      <w:pgMar w:bottom="1417"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ans"/>
  <w:font w:name="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São Paulo</w:t>
    </w:r>
    <w:r w:rsidDel="00000000" w:rsidR="00000000" w:rsidRPr="00000000">
      <w:drawing>
        <wp:anchor allowOverlap="1" behindDoc="1" distB="0" distT="0" distL="0" distR="0" hidden="0" layoutInCell="1" locked="0" relativeHeight="0" simplePos="0">
          <wp:simplePos x="0" y="0"/>
          <wp:positionH relativeFrom="column">
            <wp:posOffset>4693920</wp:posOffset>
          </wp:positionH>
          <wp:positionV relativeFrom="paragraph">
            <wp:posOffset>-212089</wp:posOffset>
          </wp:positionV>
          <wp:extent cx="1503045" cy="702310"/>
          <wp:effectExtent b="0" l="0" r="0" t="0"/>
          <wp:wrapNone/>
          <wp:docPr descr="Logotipo da EFLCH" id="4" name="image1.png"/>
          <a:graphic>
            <a:graphicData uri="http://schemas.openxmlformats.org/drawingml/2006/picture">
              <pic:pic>
                <pic:nvPicPr>
                  <pic:cNvPr descr="Logotipo da EFLCH" id="0" name="image1.png"/>
                  <pic:cNvPicPr preferRelativeResize="0"/>
                </pic:nvPicPr>
                <pic:blipFill>
                  <a:blip r:embed="rId1"/>
                  <a:srcRect b="0" l="0" r="0" t="0"/>
                  <a:stretch>
                    <a:fillRect/>
                  </a:stretch>
                </pic:blipFill>
                <pic:spPr>
                  <a:xfrm>
                    <a:off x="0" y="0"/>
                    <a:ext cx="1503045" cy="7023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-821054</wp:posOffset>
          </wp:positionH>
          <wp:positionV relativeFrom="paragraph">
            <wp:posOffset>-203833</wp:posOffset>
          </wp:positionV>
          <wp:extent cx="1332230" cy="803910"/>
          <wp:effectExtent b="0" l="0" r="0" t="0"/>
          <wp:wrapNone/>
          <wp:docPr descr="Manual da Marca Unifesp - Comunicação" id="3" name="image2.png"/>
          <a:graphic>
            <a:graphicData uri="http://schemas.openxmlformats.org/drawingml/2006/picture">
              <pic:pic>
                <pic:nvPicPr>
                  <pic:cNvPr descr="Manual da Marca Unifesp - Comunicação" id="0" name="image2.png"/>
                  <pic:cNvPicPr preferRelativeResize="0"/>
                </pic:nvPicPr>
                <pic:blipFill>
                  <a:blip r:embed="rId2"/>
                  <a:srcRect b="0" l="0" r="0" t="0"/>
                  <a:stretch>
                    <a:fillRect/>
                  </a:stretch>
                </pic:blipFill>
                <pic:spPr>
                  <a:xfrm>
                    <a:off x="0" y="0"/>
                    <a:ext cx="1332230" cy="803910"/>
                  </a:xfrm>
                  <a:prstGeom prst="rect"/>
                  <a:ln/>
                </pic:spPr>
              </pic:pic>
            </a:graphicData>
          </a:graphic>
        </wp:anchor>
      </w:drawing>
    </w:r>
  </w:p>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Escola de Filosofia, Letras e Ciências Humanas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Guarulhos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Pr>
      <w:sz w:val="24"/>
    </w:rPr>
  </w:style>
  <w:style w:type="paragraph" w:styleId="Ttulo1">
    <w:name w:val="heading 1"/>
    <w:basedOn w:val="Normal"/>
    <w:next w:val="Normal"/>
    <w:link w:val="Ttulo1Char"/>
    <w:uiPriority w:val="9"/>
    <w:qFormat w:val="1"/>
    <w:rsid w:val="004C264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har"/>
    <w:uiPriority w:val="9"/>
    <w:unhideWhenUsed w:val="1"/>
    <w:qFormat w:val="1"/>
    <w:rsid w:val="004C264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qFormat w:val="1"/>
    <w:rsid w:val="004C2648"/>
    <w:rPr>
      <w:rFonts w:asciiTheme="majorHAnsi" w:cstheme="majorBidi" w:eastAsiaTheme="majorEastAsia" w:hAnsiTheme="majorHAnsi"/>
      <w:color w:val="2f5496" w:themeColor="accent1" w:themeShade="0000BF"/>
      <w:sz w:val="32"/>
      <w:szCs w:val="32"/>
    </w:rPr>
  </w:style>
  <w:style w:type="character" w:styleId="Ttulo2Char" w:customStyle="1">
    <w:name w:val="Título 2 Char"/>
    <w:basedOn w:val="Fontepargpadro"/>
    <w:link w:val="Ttulo2"/>
    <w:uiPriority w:val="9"/>
    <w:qFormat w:val="1"/>
    <w:rsid w:val="004C2648"/>
    <w:rPr>
      <w:rFonts w:asciiTheme="majorHAnsi" w:cstheme="majorBidi" w:eastAsiaTheme="majorEastAsia" w:hAnsiTheme="majorHAnsi"/>
      <w:color w:val="2f5496" w:themeColor="accent1" w:themeShade="0000BF"/>
      <w:sz w:val="26"/>
      <w:szCs w:val="26"/>
    </w:rPr>
  </w:style>
  <w:style w:type="character" w:styleId="CabealhoChar" w:customStyle="1">
    <w:name w:val="Cabeçalho Char"/>
    <w:basedOn w:val="Fontepargpadro"/>
    <w:link w:val="Cabealho"/>
    <w:uiPriority w:val="99"/>
    <w:qFormat w:val="1"/>
    <w:rsid w:val="00C6710B"/>
  </w:style>
  <w:style w:type="character" w:styleId="RodapChar" w:customStyle="1">
    <w:name w:val="Rodapé Char"/>
    <w:basedOn w:val="Fontepargpadro"/>
    <w:link w:val="Rodap"/>
    <w:uiPriority w:val="99"/>
    <w:qFormat w:val="1"/>
    <w:rsid w:val="00C6710B"/>
  </w:style>
  <w:style w:type="character" w:styleId="LinkdaInternet" w:customStyle="1">
    <w:name w:val="Link da Internet"/>
    <w:rPr>
      <w:color w:val="000080"/>
      <w:u w:val="single"/>
      <w:lang/>
    </w:rPr>
  </w:style>
  <w:style w:type="character" w:styleId="Linkdainternetvisitado" w:customStyle="1">
    <w:name w:val="Link da internet visitado"/>
    <w:rPr>
      <w:color w:val="800000"/>
      <w:u w:val="single"/>
      <w:lang/>
    </w:rPr>
  </w:style>
  <w:style w:type="paragraph" w:styleId="Ttulo">
    <w:name w:val="Title"/>
    <w:basedOn w:val="Normal"/>
    <w:next w:val="Corpodetexto"/>
    <w:qFormat w:val="1"/>
    <w:pPr>
      <w:keepNext w:val="1"/>
      <w:spacing w:after="120" w:before="240"/>
    </w:pPr>
    <w:rPr>
      <w:rFonts w:ascii="Liberation Sans" w:cs="Lohit Devanagari" w:eastAsia="Noto Sans CJK SC"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val="1"/>
    <w:pPr>
      <w:suppressLineNumbers w:val="1"/>
      <w:spacing w:after="120" w:before="120"/>
    </w:pPr>
    <w:rPr>
      <w:rFonts w:cs="Lohit Devanagari"/>
      <w:i w:val="1"/>
      <w:iCs w:val="1"/>
    </w:rPr>
  </w:style>
  <w:style w:type="paragraph" w:styleId="ndice" w:customStyle="1">
    <w:name w:val="Índice"/>
    <w:basedOn w:val="Normal"/>
    <w:qFormat w:val="1"/>
    <w:pPr>
      <w:suppressLineNumbers w:val="1"/>
    </w:pPr>
    <w:rPr>
      <w:rFonts w:cs="Lohit Devanagari"/>
    </w:rPr>
  </w:style>
  <w:style w:type="paragraph" w:styleId="NormalWeb">
    <w:name w:val="Normal (Web)"/>
    <w:basedOn w:val="Normal"/>
    <w:uiPriority w:val="99"/>
    <w:semiHidden w:val="1"/>
    <w:unhideWhenUsed w:val="1"/>
    <w:qFormat w:val="1"/>
    <w:rsid w:val="003051AF"/>
    <w:pPr>
      <w:spacing w:afterAutospacing="1" w:beforeAutospacing="1"/>
    </w:pPr>
    <w:rPr>
      <w:rFonts w:ascii="Times New Roman" w:cs="Times New Roman" w:eastAsia="Times New Roman" w:hAnsi="Times New Roman"/>
      <w:lang w:eastAsia="pt-BR"/>
    </w:rPr>
  </w:style>
  <w:style w:type="paragraph" w:styleId="SemEspaamento">
    <w:name w:val="No Spacing"/>
    <w:uiPriority w:val="1"/>
    <w:qFormat w:val="1"/>
    <w:rsid w:val="004C2648"/>
    <w:rPr>
      <w:sz w:val="24"/>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C6710B"/>
    <w:pPr>
      <w:tabs>
        <w:tab w:val="center" w:pos="4252"/>
        <w:tab w:val="right" w:pos="8504"/>
      </w:tabs>
    </w:pPr>
  </w:style>
  <w:style w:type="paragraph" w:styleId="Rodap">
    <w:name w:val="footer"/>
    <w:basedOn w:val="Normal"/>
    <w:link w:val="RodapChar"/>
    <w:uiPriority w:val="99"/>
    <w:unhideWhenUsed w:val="1"/>
    <w:rsid w:val="00C6710B"/>
    <w:pPr>
      <w:tabs>
        <w:tab w:val="center" w:pos="4252"/>
        <w:tab w:val="right" w:pos="8504"/>
      </w:tabs>
    </w:pPr>
  </w:style>
  <w:style w:type="paragraph" w:styleId="PargrafodaLista">
    <w:name w:val="List Paragraph"/>
    <w:basedOn w:val="Normal"/>
    <w:uiPriority w:val="34"/>
    <w:qFormat w:val="1"/>
    <w:rsid w:val="0099751A"/>
    <w:pPr>
      <w:suppressAutoHyphens w:val="0"/>
      <w:ind w:left="720"/>
      <w:contextualSpacing w:val="1"/>
    </w:pPr>
    <w:rPr>
      <w:rFonts w:eastAsiaTheme="minorEastAsia"/>
      <w:sz w:val="22"/>
      <w:szCs w:val="2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XcfmmlT+rGmEMknOYrVIY3OV3w==">CgMxLjA4AHIhMXFxeHkxYjVFdGlncklPYTBWczI1dnlvOVNBX1RTSGtL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2023-10-25T14:16:00Z</dcterms:created>
  <dc:creator>Anônimo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