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8"/>
        <w:gridCol w:w="2642"/>
        <w:gridCol w:w="3696"/>
        <w:tblGridChange w:id="0">
          <w:tblGrid>
            <w:gridCol w:w="3758"/>
            <w:gridCol w:w="2642"/>
            <w:gridCol w:w="36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à História da Filosofia - TURMA 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Alexandre de Oliveira Torres Carrasco / Departamento de Filosofia.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alexandre.carrasco@unifesp.br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Português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x) Fixa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Eletiva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 90h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28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280" w:line="276" w:lineRule="auto"/>
              <w:rPr>
                <w:i w:val="0"/>
                <w:color w:val="1c1c1c"/>
              </w:rPr>
            </w:pPr>
            <w:r w:rsidDel="00000000" w:rsidR="00000000" w:rsidRPr="00000000">
              <w:rPr>
                <w:i w:val="0"/>
                <w:color w:val="1c1c1c"/>
                <w:rtl w:val="0"/>
              </w:rPr>
              <w:t xml:space="preserve">A disciplina tem por finalidade apresentar uma introdução à filosofia por meio da reflexão sobre sua historicidade e da apresentação de momentos centrais de seu desenvolvimento. Apresenta-se a reflexão sobre a historiografia e a historicidade da filosofia a partir de recortes específicos que valorizem o debate entre diversos autores e que explicitem a relação entre as obras e seu contexto histórico. Abordam-se também os diferentes métodos de trabalho com a tradição filosófica e a diversidade de</w:t>
            </w:r>
            <w:r w:rsidDel="00000000" w:rsidR="00000000" w:rsidRPr="00000000">
              <w:rPr>
                <w:color w:val="1c1c1c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color w:val="1c1c1c"/>
                <w:rtl w:val="0"/>
              </w:rPr>
              <w:t xml:space="preserve">resultados obtidos com por cada um deles.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Filosofia e metafísica no século XVII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2.Descartes, razão e ciência.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Dúvida metódica e o problema do método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“Meditações Metafísica”: a tradição e o moderno.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 e seu avesso.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6. O estatuto do sensível e seus limites.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7. 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ideias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 cartesianas.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8. Argumento Ontológico.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9. A veracidade divina.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10. “O tratado das paixões da alma” e sua relação com a tradição geométrica.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Oferecer ao discente as condições metodológicas para leitura de um clássico.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Acompanhar a gênese e a estrutura de temas clássicos cartesianos. 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7.0" w:type="dxa"/>
        <w:jc w:val="left"/>
        <w:tblInd w:w="-923.0" w:type="dxa"/>
        <w:tblLayout w:type="fixed"/>
        <w:tblLook w:val="0400"/>
      </w:tblPr>
      <w:tblGrid>
        <w:gridCol w:w="10147"/>
        <w:tblGridChange w:id="0">
          <w:tblGrid>
            <w:gridCol w:w="101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 expositiva e seminário.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Seminário e disseração final.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Básica: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ADAM, Ch.; TANNERY, P. (eds.). Œuvres de Descartes. Paris: Vrin, CentreNational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du Livre, 2000. 11 vols. [MC1]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BACON, F. The Works of Francis Bacon. Ed. by Spedding, Ellis and Heath[1857-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1874]. Cambridge: C.U.P., 2011, 14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BACON, F. Novum Organum. São Paulo: Abril Cultural, 1982 (col. 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Pensadores).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BERKELEY, G. A Treatise Concerning The Principles of Human Knowledge.Ed. by 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Dancy. Oxford: O. U. P., 1997.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BERKELEY, G. Obras filosóficas. Tradução de J. Conte. São Paulo: Edit.UNESP,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DIDEROT, D.; D’ALEMBERT, J. L. R. (dir.). Enciclopédia. Org. de P. P.Pimenta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M. das G. de Sousa. São Paulo: Edit. UNESP, 2015, 5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ESPINOSA, B. Ética. Edição bilíngue latim-português. Tradução de T. Tadeu.Belo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Horizonte: Autêntica,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ESPINOSA, B. Obra completa. Org. de J. Guinsburg, N. Cunha e R.Romano. 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Paulo: Perspectiva, 2014, 4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GARBER, D.; AYERS, M. (eds.). The Cambridge History of SeventeenthCentury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Philosophy. Cambridge: C.U.P., 2003, 2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HOBBES, Th. Do corpo. Parte I: Cálculo ou lógica. Ed. bilíngue latimportuguês. Trad.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de M. I. Limongi e V. de C. Moreira. Campinas: Edit. daUnicamp,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HUME, D. The Clarendon Edition of Works of David Hume. Oxford: Clarendon,2000,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vols. (em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HUME, D. Investigações sobre o entendimento humano. São Paulo: Unesp,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HUME, D. Tratado da natureza humana. São Paulo: Unesp,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KANT, I. I. Kants gesammelte Schriften. Ed. da Academia de Ciências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Berlim. Berlin: W. de Gruyter, [1902-42] 1962 e segs., 29 vols. [ed. digital].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Kant‘sWerke. Berlin: W. de Gruyter, 2004, 11 vols./ Werke. Ed. W.Weischedel.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Frankfurt a. M.: Suhrkamp, 1996, 12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KANT, I. Crítica da razão pura. Tradução e notas de Fernando Costa Mattos.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Petrópolis: Ed. Vozes,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KANT, I. Crítica da faculdade do juízo. Tradução de V. Rohden e A.Marques. Rio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Janeiro: Forense,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LEIBNIZ, G. W. Die philosophischen Schriften. Ed. de C. I. Gerhardt. [187585]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Hildesheim: Georg Olms, 1960-61, 7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LEIBNIZ, G. W. Discurso de metafísica e outros textos. Tradução de T. M.Lacerda.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São Paulo: Martins Fontes, 2004.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LEIBNIZ, G. W. Novos ensaios sobre o entendimento humano. Trad. de A.Cardoso.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Lisboa: Colibri, 1993.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LOCKE, J. The Clarendon Edition of the Works of John Locke. Ed. by P. H.Nidditch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et al. Oxford: Clarendon, 1975 e segs., 14 vols. (em curso).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LOCKE, J. An Essay concerning Human Understanding. Ed. by P. H. Nidditch.Oxford: Clarendon, 2000.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LOCKE, J. Ensaio sobre o entendimento humano. Tradução de E. A. deSoveral.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Lisboa: Calouste Gulbenkian, 2010. / Ensaio sobre o entendimentohumano. Trad.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P. P. G. Pimenta. São Paulo: Martins Fontes,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MONTAIGNE, M. Os ensaios. São Paulo: Martins Fontes, 2006, 3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SPINOZA, B. Spinoza Opera. Ed. C. Gebhardt. Heidelberg: Carl Winter, 1925, 4 vols.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[ed. digital].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VICO, G: A ciência nova. Rio de Janeiro: Record, 1999. / Ciência Nova. Trad.de J. 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de Carvalho. Lisboa: Calouste Gulbenkian,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VOLTAIRE. Cartas inglesas ou cartas filosóficas; Tratado de metafísica;Dicionário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filosófico; O filósofo ignorante. Ed. por M. Chaui. São Paulo: Abril Cultural, 1978 (col.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280" w:before="280" w:lineRule="auto"/>
              <w:ind w:left="735" w:right="0" w:hanging="73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c1c1c"/>
                <w:sz w:val="22"/>
                <w:szCs w:val="22"/>
                <w:rtl w:val="0"/>
              </w:rPr>
              <w:t xml:space="preserve">Os Pensadores).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80" w:before="2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DESCARTES, René (1953)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Oevres et lettres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textes présentés par André Bridoux, Paris, Gallimard Bibliotèque de la Pléiade.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MOURA, Carlos Alberto Ribeiro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Critica da razão na fenomenologia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Paulo, Edusp&amp;Nova Stella.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____.(2001)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Racionalidade e crise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estudos de história da filosofia Moderna e Contemporânea,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Discurso editorial&amp;Editora UFPR.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Gérard (1970)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Kant et la fin de la métaphysique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Paris, Livre de poche.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____(1972)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La patience du Concept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Paris, Gallimard.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____.(2006)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 filosofía e sua história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São Paulo, CosacNaify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GUENANCIA, P.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L’intelligence du Sensible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Gallimard, Paris.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ind w:left="720" w:right="0" w:hanging="720"/>
              <w:rPr>
                <w:rFonts w:ascii="Serif" w:cs="Serif" w:eastAsia="Serif" w:hAnsi="Serif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b w:val="0"/>
                <w:i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3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4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A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Heading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>
    <w:name w:val="Link da Internet"/>
    <w:qFormat w:val="1"/>
    <w:rPr>
      <w:color w:val="000080"/>
      <w:u w:val="single"/>
      <w:lang w:bidi="zxx" w:eastAsia="zxx" w:val="zxx"/>
    </w:rPr>
  </w:style>
  <w:style w:type="character" w:styleId="Linkdainternetvisitado">
    <w:name w:val="Link da internet visitado"/>
    <w:qFormat w:val="1"/>
    <w:rPr>
      <w:color w:val="80000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  <w:lang w:bidi="zxx" w:eastAsia="zxx" w:val="zxx"/>
    </w:rPr>
  </w:style>
  <w:style w:type="paragraph" w:styleId="Ttulo">
    <w:name w:val="Título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>
    <w:name w:val="Cabeçalho e Rodapé"/>
    <w:basedOn w:val="Normal"/>
    <w:qFormat w:val="1"/>
    <w:pPr/>
    <w:rPr/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Cabealho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link w:val="Rodap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X1ufU+fYk3jRjUBKW98KEJMaw==">CgMxLjA4AHIhMVFDLXEyZENsdTd2c1JFeDZjUFIzdjNQM2RoZnJhRzNL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