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CC5750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7F39EBEC" w:rsidR="0062595D" w:rsidRPr="002A25F2" w:rsidRDefault="00304B14" w:rsidP="002A25F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UNIDADE CURRICULAR: </w:t>
            </w:r>
            <w:r w:rsidR="00ED751E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História da Filosofia da Renascença</w:t>
            </w:r>
            <w:r w:rsidR="002A25F2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: </w:t>
            </w:r>
            <w:r w:rsidR="002A25F2" w:rsidRPr="002A25F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 xml:space="preserve">Dos Deveres </w:t>
            </w:r>
            <w:r w:rsidR="002A25F2" w:rsidRPr="002A25F2">
              <w:rPr>
                <w:rFonts w:asciiTheme="minorHAnsi" w:hAnsiTheme="minorHAnsi"/>
                <w:noProof/>
                <w:sz w:val="22"/>
                <w:szCs w:val="22"/>
              </w:rPr>
              <w:t xml:space="preserve">de Cícero e </w:t>
            </w:r>
            <w:r w:rsidR="002A25F2" w:rsidRPr="002A25F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Da Incomodidade da Grandeza de</w:t>
            </w:r>
            <w:r w:rsidR="002A25F2" w:rsidRPr="002A25F2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2A25F2" w:rsidRPr="002A25F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Montaigne</w:t>
            </w:r>
          </w:p>
          <w:p w14:paraId="115599D0" w14:textId="5BABD8EB" w:rsidR="0062595D" w:rsidRPr="00CC5750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CC5750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E634BD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9</w:t>
            </w:r>
            <w:r w:rsidR="00C87596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CC575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12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CC575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78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CC5750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AF0E05" w14:textId="3EF88455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0E4FCE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Sérgio Xavier Gomes de Araújo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1763E00C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Contato:</w:t>
            </w:r>
            <w:r w:rsidR="000E4FCE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0E4FCE" w:rsidRPr="00CC5750">
                <w:rPr>
                  <w:rStyle w:val="Hyperlink"/>
                  <w:rFonts w:ascii="Cambria" w:hAnsi="Cambria" w:cs="Arial"/>
                  <w:sz w:val="22"/>
                  <w:szCs w:val="22"/>
                </w:rPr>
                <w:t>sxaraujo@gmail.com</w:t>
              </w:r>
            </w:hyperlink>
          </w:p>
          <w:p w14:paraId="00446C59" w14:textId="5AF2F0FF" w:rsidR="0062595D" w:rsidRPr="00CC575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C5750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</w:t>
            </w:r>
            <w:r w:rsidR="005218D5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CC5750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Departamento:</w:t>
            </w: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CC5750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12E1F80C" w14:textId="77777777" w:rsidR="000E4FCE" w:rsidRPr="00CC5750" w:rsidRDefault="000E4FCE" w:rsidP="000E4FCE">
            <w:pPr>
              <w:pStyle w:val="Corpodetexto"/>
              <w:spacing w:after="0" w:line="360" w:lineRule="auto"/>
              <w:jc w:val="both"/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</w:pPr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 xml:space="preserve">O curso se propõe a examinar os procedimentos específicos com que Montaigne exercita nos 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  <w:lang w:eastAsia="pt-BR"/>
              </w:rPr>
              <w:t>Ensaios</w:t>
            </w:r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 xml:space="preserve"> o conhecimento de si atualizando a lição socrática do conhece-te-a-ti-mesmo no contexto social e político da França do século XVI. Neste sentido importa restituir ao projeto </w:t>
            </w:r>
            <w:proofErr w:type="spellStart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>montaigneano</w:t>
            </w:r>
            <w:proofErr w:type="spellEnd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 xml:space="preserve"> do </w:t>
            </w:r>
            <w:proofErr w:type="spellStart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>autoretrato</w:t>
            </w:r>
            <w:proofErr w:type="spellEnd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 xml:space="preserve"> a sua dimensão construtiva, ética e política, depurando-a de leituras anacrônicas que, norteadas pela noção moderna de subjetividade, o compreendem como introspecção e </w:t>
            </w:r>
            <w:proofErr w:type="spellStart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>autoinvestigação</w:t>
            </w:r>
            <w:proofErr w:type="spellEnd"/>
            <w:r w:rsidRPr="00CC5750">
              <w:rPr>
                <w:rFonts w:ascii="Cambria" w:hAnsi="Cambria"/>
                <w:color w:val="000000"/>
                <w:sz w:val="22"/>
                <w:szCs w:val="22"/>
                <w:lang w:eastAsia="pt-BR"/>
              </w:rPr>
              <w:t xml:space="preserve"> de uma dimensão interior dotada de um estatuto metafísico.            </w:t>
            </w:r>
          </w:p>
          <w:p w14:paraId="0C0FAB1F" w14:textId="15810906" w:rsidR="00052177" w:rsidRPr="00CC5750" w:rsidRDefault="00052177" w:rsidP="00FE4E27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2595D" w:rsidRPr="00CC5750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2958F84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Ementa</w:t>
            </w:r>
            <w:r w:rsidR="000E4FCE"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 xml:space="preserve">  </w:t>
            </w:r>
          </w:p>
          <w:p w14:paraId="143D3CB6" w14:textId="01AC33C7" w:rsidR="0062595D" w:rsidRPr="00920D5B" w:rsidRDefault="000E4FCE" w:rsidP="00FE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O curso será dividido em duas partes, sendo a primeira dedicada a pensar a possibilidade de uma epistemologia própria à escrita dos 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</w:rPr>
              <w:t>Ensaios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>, centrada no exercício da imaginação, em que convergem conhecimento e representação do ‘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</w:rPr>
              <w:t>eu’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. A leitura principal para tanto será do capítulo 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</w:rPr>
              <w:t>Dos Canibais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 onde a postulação da alteridade absoluta do ameríndio vem reforçar o estranhamento de si próprio e, portanto, a indagação sobre si nos valores e costumes que o constituem, bem como, indiretamente, a uma crítica radical das sociedades europeias. A segunda parte do curso explicita efetivamente o conteúdo político da imagem do ‘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</w:rPr>
              <w:t>eu’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 que se constitui no livro através da leitura do capítulo </w:t>
            </w:r>
            <w:r w:rsidRPr="00CC5750">
              <w:rPr>
                <w:rFonts w:ascii="Cambria" w:hAnsi="Cambria"/>
                <w:i/>
                <w:color w:val="000000"/>
                <w:sz w:val="22"/>
                <w:szCs w:val="22"/>
              </w:rPr>
              <w:t>Da Incomodidade da Grandeza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, em que Montaigne critica as doutrinas absolutistas que tomavam corpo em seu tempo.     </w:t>
            </w:r>
          </w:p>
        </w:tc>
      </w:tr>
      <w:tr w:rsidR="000E4FCE" w:rsidRPr="00CC5750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287F12" w14:textId="6EAFB2E9" w:rsidR="000E4FCE" w:rsidRPr="00CC5750" w:rsidRDefault="000E4FCE" w:rsidP="000E4FCE">
            <w:pPr>
              <w:pStyle w:val="Recuodecorpodetexto"/>
              <w:spacing w:line="360" w:lineRule="auto"/>
              <w:rPr>
                <w:rFonts w:ascii="Cambria" w:hAnsi="Cambria" w:cs="Arial"/>
                <w:smallCaps/>
                <w:sz w:val="22"/>
                <w:szCs w:val="22"/>
                <w:shd w:val="clear" w:color="auto" w:fill="FFFF00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Conteúdo Programático</w:t>
            </w:r>
          </w:p>
          <w:p w14:paraId="139F8B31" w14:textId="77777777" w:rsidR="000E4FCE" w:rsidRPr="00CC5750" w:rsidRDefault="000E4FCE" w:rsidP="000E4FCE">
            <w:pPr>
              <w:pStyle w:val="Recuodecorpodetexto"/>
              <w:spacing w:line="360" w:lineRule="auto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I </w:t>
            </w:r>
            <w:r w:rsidRPr="00CC5750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>– Conhecimento do outro como via para o conhecimento de si: discurso político indireto.</w:t>
            </w:r>
          </w:p>
          <w:p w14:paraId="6AAB8C5F" w14:textId="77777777" w:rsidR="000E4FCE" w:rsidRPr="00CC5750" w:rsidRDefault="000E4FCE" w:rsidP="000E4FCE">
            <w:pPr>
              <w:pStyle w:val="Recuodecorpodetexto"/>
              <w:spacing w:line="360" w:lineRule="auto"/>
              <w:ind w:left="360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- Leitura de 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Dos Canibais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 (I,31)</w:t>
            </w:r>
          </w:p>
          <w:p w14:paraId="523513D8" w14:textId="77777777" w:rsidR="000E4FCE" w:rsidRPr="00CC5750" w:rsidRDefault="000E4FCE" w:rsidP="000E4FCE">
            <w:pPr>
              <w:pStyle w:val="Recuodecorpodetexto"/>
              <w:spacing w:line="360" w:lineRule="auto"/>
              <w:ind w:left="360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Crítica cética da razão na pretensão de alcançar o conhecimento objetivo da alteridade dos ameríndios e função epistemológica da imaginação na maneira como Montaigne descreve a sociedade ameríndia. </w:t>
            </w:r>
          </w:p>
          <w:p w14:paraId="59471E8F" w14:textId="77777777" w:rsidR="000E4FCE" w:rsidRPr="00CC5750" w:rsidRDefault="000E4FCE" w:rsidP="000E4FCE">
            <w:pPr>
              <w:pStyle w:val="Recuodecorpodetexto"/>
              <w:spacing w:line="360" w:lineRule="auto"/>
              <w:ind w:left="360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>- Assimilação entre razão e imaginação</w:t>
            </w:r>
          </w:p>
          <w:p w14:paraId="186C2CAB" w14:textId="77777777" w:rsidR="000E4FCE" w:rsidRPr="00CC5750" w:rsidRDefault="000E4FCE" w:rsidP="000E4FCE">
            <w:pPr>
              <w:pStyle w:val="Recuodecorpodetexto"/>
              <w:spacing w:line="360" w:lineRule="auto"/>
              <w:ind w:left="360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Leitura de trechos da 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Apologia de Raymond Sebond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 (II, 12) e 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A Força da Imaginação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 (I,21)</w:t>
            </w:r>
          </w:p>
          <w:p w14:paraId="08FA5200" w14:textId="77777777" w:rsidR="000E4FCE" w:rsidRPr="00CC5750" w:rsidRDefault="000E4FCE" w:rsidP="000E4FCE">
            <w:pPr>
              <w:pStyle w:val="Recuodecorpodetexto"/>
              <w:spacing w:line="360" w:lineRule="auto"/>
              <w:ind w:left="360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Leitura de Trechos do tratado aristotélico 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De Anima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 e de Sexto Empírico</w:t>
            </w:r>
          </w:p>
          <w:p w14:paraId="06286E1F" w14:textId="77777777" w:rsidR="000E4FCE" w:rsidRPr="00CC5750" w:rsidRDefault="000E4FCE" w:rsidP="000E4FCE">
            <w:pPr>
              <w:pStyle w:val="Recuodecorpodetexto"/>
              <w:spacing w:line="360" w:lineRule="auto"/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>II –</w:t>
            </w:r>
            <w:r w:rsidRPr="00CC5750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>: Discurso político direto: um precursor do constitucionalismo?</w:t>
            </w:r>
          </w:p>
          <w:p w14:paraId="3BAD47E7" w14:textId="77777777" w:rsidR="000E4FCE" w:rsidRDefault="000E4FCE" w:rsidP="00920D5B">
            <w:pPr>
              <w:pStyle w:val="Recuodecorpodetexto"/>
              <w:spacing w:line="360" w:lineRule="auto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 xml:space="preserve">      - 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>Leitura do ensaio “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Da Incomodidade da Grandeza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>” (III, 7) e os efeitos ético-políticos da imagem do ‘</w:t>
            </w:r>
            <w:r w:rsidRPr="00CC5750">
              <w:rPr>
                <w:rFonts w:ascii="Cambria" w:hAnsi="Cambria" w:cs="Arial"/>
                <w:i/>
                <w:smallCaps/>
                <w:sz w:val="22"/>
                <w:szCs w:val="22"/>
                <w:shd w:val="clear" w:color="auto" w:fill="FFFFFF"/>
              </w:rPr>
              <w:t>eu</w:t>
            </w: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’ nos Ensaios: reivindicação da liberdade e autonomia do próprio juízo face às doutrinas absolutistas na França do século XVI. </w:t>
            </w:r>
          </w:p>
          <w:p w14:paraId="2C471110" w14:textId="24B4805D" w:rsidR="00920D5B" w:rsidRPr="00920D5B" w:rsidRDefault="00920D5B" w:rsidP="00920D5B">
            <w:pPr>
              <w:pStyle w:val="Recuodecorpodetexto"/>
              <w:spacing w:line="360" w:lineRule="auto"/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</w:pPr>
          </w:p>
        </w:tc>
      </w:tr>
      <w:tr w:rsidR="000E4FCE" w:rsidRPr="00CC5750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656F8D80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Metodologia de ensino</w:t>
            </w:r>
          </w:p>
          <w:p w14:paraId="6B12B2B4" w14:textId="77777777" w:rsidR="000E4FCE" w:rsidRPr="00CC5750" w:rsidRDefault="000E4FCE" w:rsidP="000E4FCE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CC5750">
              <w:rPr>
                <w:rFonts w:ascii="Cambria" w:hAnsi="Cambria" w:cs="Arial"/>
                <w:bCs/>
                <w:sz w:val="22"/>
                <w:szCs w:val="22"/>
              </w:rPr>
              <w:t xml:space="preserve">Aulas expositivas, leitura e discussão dirigida dos textos. </w:t>
            </w:r>
          </w:p>
          <w:p w14:paraId="61626D48" w14:textId="4C16462C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1. Encontros síncronos (</w:t>
            </w:r>
            <w:r w:rsid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via </w:t>
            </w: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Google </w:t>
            </w:r>
            <w:proofErr w:type="spellStart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Meet</w:t>
            </w:r>
            <w:proofErr w:type="spellEnd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).</w:t>
            </w:r>
          </w:p>
          <w:p w14:paraId="1807593F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CF7838D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2. Alternativas para os alunos que não puderem participar dos encontros síncronos (via e-mail institucional):</w:t>
            </w:r>
          </w:p>
          <w:p w14:paraId="107EE38B" w14:textId="65E8876B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182F63E" w14:textId="49FEA340" w:rsidR="000E4FCE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 3. Trabalhos escritos, exercícios e dissertações.</w:t>
            </w:r>
          </w:p>
          <w:p w14:paraId="48C99C8D" w14:textId="79879FF1" w:rsidR="006B3017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0FCEC5" w14:textId="4374A1B7" w:rsidR="006B3017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4. Leituras complementares (para acompanhamento do curso).</w:t>
            </w:r>
          </w:p>
          <w:p w14:paraId="6C6CBAED" w14:textId="77777777" w:rsidR="006B3017" w:rsidRPr="00CC5750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4AAB6B1" w14:textId="77777777" w:rsidR="00920D5B" w:rsidRDefault="00CC5750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 xml:space="preserve">Recursos Instrucionais:  </w:t>
            </w:r>
          </w:p>
          <w:p w14:paraId="225AFC61" w14:textId="77777777" w:rsidR="00920D5B" w:rsidRDefault="00CC5750" w:rsidP="0092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Vídeos, podcasts, atividades síncronas, elaboração de textos</w:t>
            </w:r>
            <w:r w:rsidR="00920D5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40485D2E" w14:textId="011F21A9" w:rsidR="00920D5B" w:rsidRPr="00920D5B" w:rsidRDefault="00920D5B" w:rsidP="0092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 material de estudo estará disponível em meios digitais.</w:t>
            </w:r>
          </w:p>
        </w:tc>
      </w:tr>
      <w:tr w:rsidR="000E4FCE" w:rsidRPr="00CC5750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6B1EF178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Pr="00CC5750"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  <w:t>.</w:t>
            </w:r>
          </w:p>
          <w:p w14:paraId="1D227A7D" w14:textId="4EC1C47B" w:rsidR="00CC5750" w:rsidRPr="00CC5750" w:rsidRDefault="00CC5750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</w:p>
          <w:p w14:paraId="3CED70DB" w14:textId="7A96A61A" w:rsidR="00CC5750" w:rsidRPr="00CC5750" w:rsidRDefault="00CC5750" w:rsidP="00CC575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Participação do/as estudantes e capacidade de trabalhar com os conceitos e conteúdos desenvolvidos na UC</w:t>
            </w:r>
          </w:p>
          <w:p w14:paraId="4CAB5BDB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0E4FCE" w:rsidRPr="00CC5750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Verdana" w:hAnsi="Cambria" w:cs="Verdana"/>
                <w:i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F4F67C0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ARISTÓTELES. De Anima/Da Alma. São Paulo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Edipro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2011.</w:t>
            </w:r>
          </w:p>
          <w:p w14:paraId="344C1B4D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MONTAIGNE.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Ensaios</w:t>
            </w:r>
            <w:r w:rsidRPr="00CC5750">
              <w:rPr>
                <w:rFonts w:ascii="Cambria" w:hAnsi="Cambria" w:cs="Arial"/>
                <w:sz w:val="22"/>
                <w:szCs w:val="22"/>
              </w:rPr>
              <w:t>. São Paulo: Martins Fontes, 2002.</w:t>
            </w:r>
          </w:p>
          <w:p w14:paraId="66C017B0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lastRenderedPageBreak/>
              <w:t xml:space="preserve">-------------------.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Essais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Édition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Pierre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Villey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avec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appendices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sources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index. Paris:</w:t>
            </w:r>
          </w:p>
          <w:p w14:paraId="7259960C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Quadrige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Presses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Universitaires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France, 1988.</w:t>
            </w:r>
          </w:p>
          <w:p w14:paraId="71DE45C3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PLATÃO,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A República</w:t>
            </w:r>
            <w:r w:rsidRPr="00CC5750">
              <w:rPr>
                <w:rFonts w:ascii="Cambria" w:hAnsi="Cambria" w:cs="Arial"/>
                <w:sz w:val="22"/>
                <w:szCs w:val="22"/>
              </w:rPr>
              <w:t xml:space="preserve">, Lisboa: Calouste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Gulbekian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1991.</w:t>
            </w:r>
          </w:p>
          <w:p w14:paraId="77275055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SÊNECA. De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Providentia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, In: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Stoiciens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II. Testes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traduits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par Émile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Bréhier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. Paris:</w:t>
            </w:r>
          </w:p>
          <w:p w14:paraId="3A41CEE1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>Gallimard, 1962.</w:t>
            </w:r>
          </w:p>
          <w:p w14:paraId="09AA6D47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BLANCHARD, Marc.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Trois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Portraits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Montaigne: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essai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sur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la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représentation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à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la</w:t>
            </w:r>
            <w:proofErr w:type="spellEnd"/>
          </w:p>
          <w:p w14:paraId="6A2EE09B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Renaissance. Paris: A. G.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Nizet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1990.</w:t>
            </w:r>
          </w:p>
          <w:p w14:paraId="236B93C5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CONLEY, Tom, “The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Essays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and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the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New World” In: The Cambridge Companion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to</w:t>
            </w:r>
            <w:proofErr w:type="spellEnd"/>
          </w:p>
          <w:p w14:paraId="7110B0E6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>Montaigne, 2005.</w:t>
            </w:r>
          </w:p>
          <w:p w14:paraId="285F5A92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LESTRIGNANT, Frank. “Montaigne,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Brésil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et l’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unité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du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genre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humaine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” In: Montaigne</w:t>
            </w:r>
          </w:p>
          <w:p w14:paraId="6D2265FB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Studies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: Montaigne et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Nouveau Monde. Volume XXII.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Number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1-2, p. 9 -23.</w:t>
            </w:r>
          </w:p>
          <w:p w14:paraId="5BAF514F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NAKAM,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Geralde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Essais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Montaigne: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miroir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et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proces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leur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temps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Paris: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Librarie</w:t>
            </w:r>
            <w:proofErr w:type="spellEnd"/>
          </w:p>
          <w:p w14:paraId="6FCF18BE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A. G.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Nizet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1984.</w:t>
            </w:r>
          </w:p>
          <w:p w14:paraId="76F51114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ROMÃO, Rui Bertrand. “Nouveau Monde, politiques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anciennes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” In: Montaigne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Studies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29D2760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Montaigne et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Nouveau Monde. Volume XXII.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Number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1-2, p. 173-187.</w:t>
            </w:r>
          </w:p>
          <w:p w14:paraId="51FC5222" w14:textId="77777777" w:rsidR="00CC5750" w:rsidRPr="00CC5750" w:rsidRDefault="00CC5750" w:rsidP="00CC5750">
            <w:pPr>
              <w:tabs>
                <w:tab w:val="left" w:pos="1700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SKINNER, Q.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As Fundações do Pensamento Político Moderno</w:t>
            </w:r>
            <w:r w:rsidRPr="00CC5750">
              <w:rPr>
                <w:rFonts w:ascii="Cambria" w:hAnsi="Cambria" w:cs="Arial"/>
                <w:sz w:val="22"/>
                <w:szCs w:val="22"/>
              </w:rPr>
              <w:t>. São Paulo, Companhia das Letras, 1996.</w:t>
            </w:r>
          </w:p>
          <w:p w14:paraId="57E7CE66" w14:textId="77777777" w:rsidR="00CC5750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>STAROBINSKI, Jean. Montaigne em movimento. São Paulo, companhia das letras, 1996.</w:t>
            </w:r>
          </w:p>
          <w:p w14:paraId="0F5B3F04" w14:textId="4E3109EE" w:rsidR="000E4FCE" w:rsidRPr="00CC5750" w:rsidRDefault="00CC5750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TOURNON,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Andre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La Glose et l’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Essai.Paris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: Honoré Champion, 2006.</w:t>
            </w:r>
          </w:p>
        </w:tc>
      </w:tr>
      <w:tr w:rsidR="000E4FCE" w:rsidRPr="00CC5750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2CA1FCEC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</w:p>
        </w:tc>
      </w:tr>
      <w:tr w:rsidR="000E4FCE" w:rsidRPr="00CC5750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0E4FCE" w:rsidRPr="00CC5750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1198C3F3" w:rsidR="000E4FCE" w:rsidRPr="00CC5750" w:rsidRDefault="00CC5750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Sérgio Xavier Gomes de Araújo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40h</w:t>
            </w:r>
          </w:p>
        </w:tc>
      </w:tr>
    </w:tbl>
    <w:p w14:paraId="118155C0" w14:textId="77777777" w:rsidR="009A035B" w:rsidRPr="00CC5750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294F86D4" w14:textId="77777777" w:rsidR="00EA4ED9" w:rsidRPr="00CC5750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2"/>
          <w:szCs w:val="22"/>
        </w:rPr>
      </w:pPr>
    </w:p>
    <w:p w14:paraId="5871FA08" w14:textId="2A4EBA58" w:rsidR="0062595D" w:rsidRPr="00CC5750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7F7F7F"/>
          <w:sz w:val="22"/>
          <w:szCs w:val="22"/>
        </w:rPr>
      </w:pPr>
      <w:r w:rsidRPr="00CC5750">
        <w:rPr>
          <w:rFonts w:ascii="Cambria" w:eastAsia="Calibri" w:hAnsi="Cambria" w:cs="Calibri"/>
          <w:b/>
          <w:color w:val="C00000"/>
          <w:sz w:val="22"/>
          <w:szCs w:val="22"/>
        </w:rPr>
        <w:t>Cronograma das ATIVIDADES DOMICILIARES ESPECIAIS</w:t>
      </w:r>
    </w:p>
    <w:p w14:paraId="2791DDD9" w14:textId="77777777" w:rsidR="0062595D" w:rsidRPr="00CC5750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 w:rsidRPr="00CC5750">
        <w:rPr>
          <w:rFonts w:ascii="Cambria" w:eastAsia="Calibri" w:hAnsi="Cambria" w:cs="Calibri"/>
          <w:b/>
          <w:color w:val="000000"/>
          <w:sz w:val="22"/>
          <w:szCs w:val="22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0E4FCE" w:rsidRPr="00CC5750" w14:paraId="157F5445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F77E8" w14:textId="70B90191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7E6D6" w14:textId="6C0FF6E6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0E4FCE" w:rsidRPr="00CC5750" w14:paraId="714D7C58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1FBBC" w14:textId="77777777" w:rsidR="00CC5750" w:rsidRPr="00CC5750" w:rsidRDefault="00CC5750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0441BBA" w14:textId="38DFD31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1. Encontros síncronos (Google </w:t>
            </w:r>
            <w:proofErr w:type="spellStart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Meet</w:t>
            </w:r>
            <w:proofErr w:type="spellEnd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).</w:t>
            </w:r>
          </w:p>
          <w:p w14:paraId="55F9DEFF" w14:textId="1CE2F85C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Horários</w:t>
            </w:r>
            <w:r w:rsidRPr="00CC5750">
              <w:rPr>
                <w:rFonts w:ascii="Cambria" w:hAnsi="Cambria"/>
                <w:sz w:val="22"/>
                <w:szCs w:val="22"/>
              </w:rPr>
              <w:t>: 14h às 16h (Vespertino) e 19h às 21 (Noturno).</w:t>
            </w:r>
          </w:p>
          <w:p w14:paraId="6DECCE13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Dias</w:t>
            </w:r>
            <w:r w:rsidRPr="00CC5750">
              <w:rPr>
                <w:rFonts w:ascii="Cambria" w:hAnsi="Cambria"/>
                <w:sz w:val="22"/>
                <w:szCs w:val="22"/>
              </w:rPr>
              <w:t xml:space="preserve">: 03/08; 10/08; 17/08; 24/08; 31/08; 14/09; 21/09; 28/09; 05/10; 19/10. </w:t>
            </w:r>
          </w:p>
          <w:p w14:paraId="30AAAF41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EDDAA6D" w14:textId="77777777" w:rsidR="00CC5750" w:rsidRPr="00CC5750" w:rsidRDefault="00CC5750" w:rsidP="00CC5750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CC5750">
              <w:rPr>
                <w:rFonts w:ascii="Cambria" w:hAnsi="Cambria" w:cs="Arial"/>
                <w:bCs/>
                <w:sz w:val="22"/>
                <w:szCs w:val="22"/>
              </w:rPr>
              <w:t xml:space="preserve">Aulas expositivas, leitura e discussão dirigida dos textos. </w:t>
            </w:r>
          </w:p>
          <w:p w14:paraId="1BA91CE6" w14:textId="443D2087" w:rsidR="00CC5750" w:rsidRPr="00CC5750" w:rsidRDefault="00CC5750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EAE27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</w:p>
          <w:p w14:paraId="41C658E7" w14:textId="3777FD95" w:rsidR="00CC5750" w:rsidRPr="00CC5750" w:rsidRDefault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40h</w:t>
            </w:r>
          </w:p>
        </w:tc>
      </w:tr>
      <w:tr w:rsidR="000E4FCE" w:rsidRPr="00CC5750" w14:paraId="79A6D6C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C2B54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F8717D3" w14:textId="781EBB22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2. Alternativas para os alunos que não puderem participar dos encontros síncronos (via e-mail institucional)</w:t>
            </w:r>
            <w:r w:rsidR="00CC5750"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 - 40h</w:t>
            </w: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6CA9B91D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462F87F8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 xml:space="preserve">Atividade I (dias 03 e 10/08): Montaigne, </w:t>
            </w:r>
            <w:r w:rsidRPr="00CC5750">
              <w:rPr>
                <w:rFonts w:ascii="Cambria" w:hAnsi="Cambria"/>
                <w:i/>
                <w:sz w:val="22"/>
                <w:szCs w:val="22"/>
              </w:rPr>
              <w:t>Dos Canibais</w:t>
            </w:r>
            <w:r w:rsidRPr="00CC5750">
              <w:rPr>
                <w:rFonts w:ascii="Cambria" w:hAnsi="Cambria"/>
                <w:sz w:val="22"/>
                <w:szCs w:val="22"/>
              </w:rPr>
              <w:t>, II.31 (trecho a escolher).</w:t>
            </w:r>
          </w:p>
          <w:p w14:paraId="28800771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 xml:space="preserve">Atividade II (dias 17 e 24/08): Montaigne, </w:t>
            </w:r>
            <w:r w:rsidRPr="00CC5750">
              <w:rPr>
                <w:rFonts w:ascii="Cambria" w:hAnsi="Cambria"/>
                <w:i/>
                <w:sz w:val="22"/>
                <w:szCs w:val="22"/>
              </w:rPr>
              <w:t xml:space="preserve">Apologia de Raymond </w:t>
            </w:r>
            <w:proofErr w:type="spellStart"/>
            <w:r w:rsidRPr="00CC5750">
              <w:rPr>
                <w:rFonts w:ascii="Cambria" w:hAnsi="Cambria"/>
                <w:i/>
                <w:sz w:val="22"/>
                <w:szCs w:val="22"/>
              </w:rPr>
              <w:t>Sebond</w:t>
            </w:r>
            <w:proofErr w:type="spellEnd"/>
            <w:r w:rsidRPr="00CC5750"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CC5750">
              <w:rPr>
                <w:rFonts w:ascii="Cambria" w:hAnsi="Cambria"/>
                <w:sz w:val="22"/>
                <w:szCs w:val="22"/>
              </w:rPr>
              <w:t xml:space="preserve"> II.12 (trecho a escolher).</w:t>
            </w:r>
          </w:p>
          <w:p w14:paraId="52AA456E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 xml:space="preserve">Atividade III (dia 31/08 e 14/09): Sêneca, </w:t>
            </w:r>
            <w:r w:rsidRPr="00CC5750">
              <w:rPr>
                <w:rFonts w:ascii="Cambria" w:hAnsi="Cambria"/>
                <w:i/>
                <w:sz w:val="22"/>
                <w:szCs w:val="22"/>
              </w:rPr>
              <w:t xml:space="preserve">De </w:t>
            </w:r>
            <w:proofErr w:type="spellStart"/>
            <w:r w:rsidRPr="00CC5750">
              <w:rPr>
                <w:rFonts w:ascii="Cambria" w:hAnsi="Cambria"/>
                <w:i/>
                <w:sz w:val="22"/>
                <w:szCs w:val="22"/>
              </w:rPr>
              <w:t>Providentia</w:t>
            </w:r>
            <w:proofErr w:type="spellEnd"/>
            <w:r w:rsidRPr="00CC5750">
              <w:rPr>
                <w:rFonts w:ascii="Cambria" w:hAnsi="Cambria"/>
                <w:sz w:val="22"/>
                <w:szCs w:val="22"/>
              </w:rPr>
              <w:t>.</w:t>
            </w:r>
          </w:p>
          <w:p w14:paraId="69365C75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 xml:space="preserve">Atividade IV (dia 21 e 28/09): Sexto Empírico, </w:t>
            </w:r>
            <w:proofErr w:type="spellStart"/>
            <w:r w:rsidRPr="00CC5750">
              <w:rPr>
                <w:rFonts w:ascii="Cambria" w:hAnsi="Cambria"/>
                <w:i/>
                <w:sz w:val="22"/>
                <w:szCs w:val="22"/>
              </w:rPr>
              <w:t>Hipotiposes</w:t>
            </w:r>
            <w:proofErr w:type="spellEnd"/>
            <w:r w:rsidRPr="00CC5750">
              <w:rPr>
                <w:rFonts w:ascii="Cambria" w:hAnsi="Cambria"/>
                <w:i/>
                <w:sz w:val="22"/>
                <w:szCs w:val="22"/>
              </w:rPr>
              <w:t xml:space="preserve"> Pirrônicas</w:t>
            </w:r>
            <w:r w:rsidRPr="00CC5750">
              <w:rPr>
                <w:rFonts w:ascii="Cambria" w:hAnsi="Cambria"/>
                <w:sz w:val="22"/>
                <w:szCs w:val="22"/>
              </w:rPr>
              <w:t>, (trechos a escolher)</w:t>
            </w:r>
          </w:p>
          <w:p w14:paraId="25151CE7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 xml:space="preserve">Atividade V (dia 05/10 e 19/10): Montaigne, </w:t>
            </w:r>
            <w:r w:rsidRPr="00CC5750">
              <w:rPr>
                <w:rFonts w:ascii="Cambria" w:hAnsi="Cambria"/>
                <w:i/>
                <w:sz w:val="22"/>
                <w:szCs w:val="22"/>
              </w:rPr>
              <w:t>Da Incomodidade da Grandeza</w:t>
            </w:r>
            <w:r w:rsidRPr="00CC5750">
              <w:rPr>
                <w:rFonts w:ascii="Cambria" w:hAnsi="Cambria"/>
                <w:sz w:val="22"/>
                <w:szCs w:val="22"/>
              </w:rPr>
              <w:t>, III.7.</w:t>
            </w:r>
          </w:p>
          <w:p w14:paraId="7EF1A96D" w14:textId="7C24A684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DAB71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E4FCE" w:rsidRPr="00CC5750" w14:paraId="49AAC2A7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E035D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C3EBCA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 3. Trabalhos escritos, exercícios e dissertações.</w:t>
            </w:r>
          </w:p>
          <w:p w14:paraId="37397887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(para cada trabalho escrito, serão computadas 6 horas da carga horária do curso)</w:t>
            </w:r>
          </w:p>
          <w:p w14:paraId="70C4EFD1" w14:textId="77777777" w:rsidR="000E4FCE" w:rsidRDefault="000E4FCE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Dias (devolutivas): 17/08, 14/09 e 05/10 (prazo máximo).</w:t>
            </w:r>
          </w:p>
          <w:p w14:paraId="515D3979" w14:textId="4324AB1A" w:rsidR="00CC5750" w:rsidRPr="00CC5750" w:rsidRDefault="00CC5750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2A82F" w14:textId="7A54E0BB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12</w:t>
            </w:r>
            <w:r w:rsidR="00CC5750"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0E4FCE" w:rsidRPr="00CC5750" w14:paraId="5FEB34FC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7901B9" w14:textId="77777777" w:rsidR="00CC5750" w:rsidRDefault="00CC5750" w:rsidP="00CC575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DE5B614" w14:textId="77777777" w:rsidR="000E4FCE" w:rsidRDefault="00CC5750" w:rsidP="00CC575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4. Leituras complementares.</w:t>
            </w:r>
          </w:p>
          <w:p w14:paraId="42F88685" w14:textId="76628DC5" w:rsidR="00CC5750" w:rsidRPr="00CC5750" w:rsidRDefault="00CC5750" w:rsidP="00CC575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4D84C4" w14:textId="12D7C2B2" w:rsidR="000E4FCE" w:rsidRPr="00CC5750" w:rsidRDefault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26h</w:t>
            </w:r>
          </w:p>
        </w:tc>
      </w:tr>
      <w:tr w:rsidR="0062595D" w:rsidRPr="00CC5750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libri" w:hAnsi="Cambria" w:cs="Calibri"/>
                <w:b/>
                <w:i/>
                <w:color w:val="40404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222EEFE4" w:rsidR="0062595D" w:rsidRPr="00CC5750" w:rsidRDefault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CC5750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19/10/2020 - Prazo final para preenchimento da pasta verde.</w:t>
            </w:r>
          </w:p>
        </w:tc>
      </w:tr>
    </w:tbl>
    <w:p w14:paraId="55C986CE" w14:textId="07302FB1" w:rsidR="0062595D" w:rsidRPr="00CC5750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sectPr w:rsidR="0062595D" w:rsidRPr="00CC57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0C15" w14:textId="77777777" w:rsidR="0009161A" w:rsidRDefault="0009161A">
      <w:r>
        <w:separator/>
      </w:r>
    </w:p>
  </w:endnote>
  <w:endnote w:type="continuationSeparator" w:id="0">
    <w:p w14:paraId="09840806" w14:textId="77777777" w:rsidR="0009161A" w:rsidRDefault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A087" w14:textId="77777777" w:rsidR="0009161A" w:rsidRDefault="0009161A">
      <w:r>
        <w:separator/>
      </w:r>
    </w:p>
  </w:footnote>
  <w:footnote w:type="continuationSeparator" w:id="0">
    <w:p w14:paraId="0A4CEBC6" w14:textId="77777777" w:rsidR="0009161A" w:rsidRDefault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CDB"/>
    <w:multiLevelType w:val="hybridMultilevel"/>
    <w:tmpl w:val="0204B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9045D"/>
    <w:rsid w:val="0009161A"/>
    <w:rsid w:val="000D232B"/>
    <w:rsid w:val="000E4FCE"/>
    <w:rsid w:val="00100817"/>
    <w:rsid w:val="001426EC"/>
    <w:rsid w:val="001C7951"/>
    <w:rsid w:val="001D4255"/>
    <w:rsid w:val="00224E66"/>
    <w:rsid w:val="002351D8"/>
    <w:rsid w:val="00253566"/>
    <w:rsid w:val="002802F1"/>
    <w:rsid w:val="00286122"/>
    <w:rsid w:val="002A25F2"/>
    <w:rsid w:val="00302BE7"/>
    <w:rsid w:val="00304B14"/>
    <w:rsid w:val="00312DCA"/>
    <w:rsid w:val="0033157B"/>
    <w:rsid w:val="003400DE"/>
    <w:rsid w:val="00445F00"/>
    <w:rsid w:val="004611CE"/>
    <w:rsid w:val="00486896"/>
    <w:rsid w:val="005218D5"/>
    <w:rsid w:val="00544407"/>
    <w:rsid w:val="0055313F"/>
    <w:rsid w:val="00587F16"/>
    <w:rsid w:val="005904EB"/>
    <w:rsid w:val="005A53B7"/>
    <w:rsid w:val="005B139E"/>
    <w:rsid w:val="006028B5"/>
    <w:rsid w:val="0062595D"/>
    <w:rsid w:val="00651221"/>
    <w:rsid w:val="00680888"/>
    <w:rsid w:val="00694D04"/>
    <w:rsid w:val="006B3017"/>
    <w:rsid w:val="006F3BA8"/>
    <w:rsid w:val="00720C03"/>
    <w:rsid w:val="00730EC5"/>
    <w:rsid w:val="007B17D1"/>
    <w:rsid w:val="007C2022"/>
    <w:rsid w:val="007E4549"/>
    <w:rsid w:val="00806768"/>
    <w:rsid w:val="008661CC"/>
    <w:rsid w:val="009053A4"/>
    <w:rsid w:val="00920D5B"/>
    <w:rsid w:val="0098694B"/>
    <w:rsid w:val="00987287"/>
    <w:rsid w:val="00995D53"/>
    <w:rsid w:val="009A035B"/>
    <w:rsid w:val="009C2094"/>
    <w:rsid w:val="00A16077"/>
    <w:rsid w:val="00A2441D"/>
    <w:rsid w:val="00A359E9"/>
    <w:rsid w:val="00A55489"/>
    <w:rsid w:val="00A93148"/>
    <w:rsid w:val="00B77CEA"/>
    <w:rsid w:val="00B843F3"/>
    <w:rsid w:val="00BA0A11"/>
    <w:rsid w:val="00BB02BE"/>
    <w:rsid w:val="00BC1F8F"/>
    <w:rsid w:val="00BD1911"/>
    <w:rsid w:val="00BE5C9A"/>
    <w:rsid w:val="00C07B94"/>
    <w:rsid w:val="00C13081"/>
    <w:rsid w:val="00C21858"/>
    <w:rsid w:val="00C80588"/>
    <w:rsid w:val="00C87596"/>
    <w:rsid w:val="00CC5750"/>
    <w:rsid w:val="00CE7A24"/>
    <w:rsid w:val="00D17FB9"/>
    <w:rsid w:val="00DA0BD2"/>
    <w:rsid w:val="00DA766A"/>
    <w:rsid w:val="00DF26E7"/>
    <w:rsid w:val="00DF3400"/>
    <w:rsid w:val="00E408E7"/>
    <w:rsid w:val="00E44B23"/>
    <w:rsid w:val="00E634BD"/>
    <w:rsid w:val="00E74B94"/>
    <w:rsid w:val="00E82E5B"/>
    <w:rsid w:val="00EA4ED9"/>
    <w:rsid w:val="00EB23E9"/>
    <w:rsid w:val="00ED751E"/>
    <w:rsid w:val="00F41A2F"/>
    <w:rsid w:val="00F9663E"/>
    <w:rsid w:val="00FB5262"/>
    <w:rsid w:val="00FB75AC"/>
    <w:rsid w:val="00FD2C4B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E4F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4F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E4FCE"/>
    <w:pPr>
      <w:widowControl w:val="0"/>
      <w:suppressAutoHyphens/>
      <w:spacing w:after="120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E4F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xaraujo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2020-07-06T19:04:00Z</dcterms:created>
  <dcterms:modified xsi:type="dcterms:W3CDTF">2020-07-10T15:53:00Z</dcterms:modified>
</cp:coreProperties>
</file>