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17891" w14:textId="692D6B1F" w:rsidR="0062595D" w:rsidRPr="0009045D" w:rsidRDefault="00304B14" w:rsidP="0009045D">
      <w:pPr>
        <w:pStyle w:val="Subttulo"/>
        <w:jc w:val="center"/>
        <w:rPr>
          <w:sz w:val="28"/>
          <w:szCs w:val="28"/>
        </w:rPr>
      </w:pPr>
      <w:r w:rsidRPr="0009045D">
        <w:rPr>
          <w:sz w:val="28"/>
          <w:szCs w:val="28"/>
        </w:rPr>
        <w:t>PLANO DE ENSINO</w:t>
      </w:r>
    </w:p>
    <w:p w14:paraId="605B1D6A" w14:textId="77777777" w:rsidR="0062595D" w:rsidRDefault="00304B14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Atividades Domiciliares Especiais (ADE)</w:t>
      </w:r>
    </w:p>
    <w:p w14:paraId="22845FB0" w14:textId="77777777" w:rsidR="0062595D" w:rsidRDefault="00304B1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plano de ensino revisado para ADE deve prever: quais atividades serão solicitadas aos estudantes e qual carga horária será computada para cada atividade entregue. A frequência do estudante não será estimada por sua presença nas atividades síncronas, mas sim pela efetiva realização das atividades propostas.</w:t>
      </w:r>
    </w:p>
    <w:p w14:paraId="4B579B95" w14:textId="77777777" w:rsidR="0062595D" w:rsidRDefault="006259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"/>
        <w:tblW w:w="99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844"/>
        <w:gridCol w:w="148"/>
        <w:gridCol w:w="988"/>
        <w:gridCol w:w="2146"/>
        <w:gridCol w:w="1825"/>
      </w:tblGrid>
      <w:tr w:rsidR="0062595D" w:rsidRPr="00CC5750" w14:paraId="1BFA8D71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AF88941" w14:textId="7F39EBEC" w:rsidR="0062595D" w:rsidRPr="002A25F2" w:rsidRDefault="00304B14" w:rsidP="002A25F2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 xml:space="preserve">UNIDADE CURRICULAR: </w:t>
            </w:r>
            <w:r w:rsidR="00ED751E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História da Filosofia da Renascença</w:t>
            </w:r>
            <w:r w:rsidR="002A25F2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 xml:space="preserve">: </w:t>
            </w:r>
            <w:r w:rsidR="002A25F2" w:rsidRPr="002A25F2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 xml:space="preserve">Dos Deveres </w:t>
            </w:r>
            <w:r w:rsidR="002A25F2" w:rsidRPr="002A25F2">
              <w:rPr>
                <w:rFonts w:asciiTheme="minorHAnsi" w:hAnsiTheme="minorHAnsi"/>
                <w:noProof/>
                <w:sz w:val="22"/>
                <w:szCs w:val="22"/>
              </w:rPr>
              <w:t xml:space="preserve">de Cícero e </w:t>
            </w:r>
            <w:r w:rsidR="002A25F2" w:rsidRPr="002A25F2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Da Incomodidade da Grandeza de</w:t>
            </w:r>
            <w:r w:rsidR="002A25F2" w:rsidRPr="002A25F2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2A25F2" w:rsidRPr="002A25F2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Montaigne</w:t>
            </w:r>
          </w:p>
          <w:p w14:paraId="115599D0" w14:textId="5BABD8EB" w:rsidR="0062595D" w:rsidRPr="00CC5750" w:rsidRDefault="0062595D" w:rsidP="00EA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 w:cs="Calibri"/>
                <w:iCs/>
                <w:color w:val="000000"/>
                <w:sz w:val="22"/>
                <w:szCs w:val="22"/>
              </w:rPr>
            </w:pPr>
          </w:p>
        </w:tc>
      </w:tr>
      <w:tr w:rsidR="0062595D" w:rsidRPr="00CC5750" w14:paraId="79BA42F3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610E976" w14:textId="4F7D7F56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mbria" w:eastAsia="Calibri" w:hAnsi="Cambria" w:cs="Calibri"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>Carga Horária Total da UC:</w:t>
            </w: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 xml:space="preserve"> </w:t>
            </w:r>
            <w:r w:rsidR="00E634BD"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9</w:t>
            </w:r>
            <w:r w:rsidR="00C87596"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0h</w:t>
            </w:r>
          </w:p>
          <w:p w14:paraId="01D943AA" w14:textId="6F39EE26" w:rsidR="0062595D" w:rsidRPr="00CC5750" w:rsidRDefault="00304B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 xml:space="preserve">Horas já ministradas presencialmente (de 02/03 a 13/03/2020): </w:t>
            </w:r>
            <w:r w:rsidR="002802F1"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12</w:t>
            </w: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h.</w:t>
            </w:r>
          </w:p>
          <w:p w14:paraId="07058489" w14:textId="62F9E086" w:rsidR="0062595D" w:rsidRPr="00CC5750" w:rsidRDefault="00304B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 xml:space="preserve">Horas a serem ministradas em ADE (de 03/08 a 19/10/2020): </w:t>
            </w:r>
            <w:r w:rsidR="002802F1"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78</w:t>
            </w: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h.</w:t>
            </w:r>
          </w:p>
        </w:tc>
      </w:tr>
      <w:tr w:rsidR="0062595D" w:rsidRPr="00CC5750" w14:paraId="5BFD4A4D" w14:textId="77777777">
        <w:tc>
          <w:tcPr>
            <w:tcW w:w="495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6AF0E05" w14:textId="3EF88455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mbria" w:eastAsia="Calibri" w:hAnsi="Cambria" w:cs="Calibri"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>Professor(a) Responsável:</w:t>
            </w: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 xml:space="preserve"> </w:t>
            </w:r>
            <w:r w:rsidR="000E4FCE"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Sérgio Xavier Gomes de Araújo</w:t>
            </w:r>
          </w:p>
        </w:tc>
        <w:tc>
          <w:tcPr>
            <w:tcW w:w="49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4B9A039" w14:textId="1763E00C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Contato:</w:t>
            </w:r>
            <w:r w:rsidR="000E4FCE"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 xml:space="preserve"> </w:t>
            </w:r>
            <w:hyperlink r:id="rId7" w:history="1">
              <w:r w:rsidR="000E4FCE" w:rsidRPr="00CC5750">
                <w:rPr>
                  <w:rStyle w:val="Hyperlink"/>
                  <w:rFonts w:ascii="Cambria" w:hAnsi="Cambria" w:cs="Arial"/>
                  <w:sz w:val="22"/>
                  <w:szCs w:val="22"/>
                </w:rPr>
                <w:t>sxaraujo@gmail.com</w:t>
              </w:r>
            </w:hyperlink>
          </w:p>
          <w:p w14:paraId="00446C59" w14:textId="5AF2F0FF" w:rsidR="0062595D" w:rsidRPr="00CC5750" w:rsidRDefault="0062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  <w:tr w:rsidR="0062595D" w:rsidRPr="00CC5750" w14:paraId="065103FB" w14:textId="77777777">
        <w:tc>
          <w:tcPr>
            <w:tcW w:w="48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F18601E" w14:textId="77777777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 xml:space="preserve">Ano Letivo: </w:t>
            </w: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1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52C0F3B" w14:textId="736723FA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 xml:space="preserve">Semestre: </w:t>
            </w:r>
            <w:r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1</w:t>
            </w:r>
            <w:r w:rsidR="005218D5" w:rsidRPr="00CC5750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º</w:t>
            </w:r>
          </w:p>
        </w:tc>
      </w:tr>
      <w:tr w:rsidR="0062595D" w:rsidRPr="00CC5750" w14:paraId="78FF6EF5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D127AD7" w14:textId="463B9A45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Departamento:</w:t>
            </w: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 xml:space="preserve"> Filosofia</w:t>
            </w:r>
          </w:p>
        </w:tc>
      </w:tr>
      <w:tr w:rsidR="0062595D" w:rsidRPr="00CC5750" w14:paraId="502472B7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A5099B9" w14:textId="77777777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t>Objetivos</w:t>
            </w:r>
          </w:p>
          <w:p w14:paraId="12E1F80C" w14:textId="77777777" w:rsidR="000E4FCE" w:rsidRPr="00CC5750" w:rsidRDefault="000E4FCE" w:rsidP="000E4FCE">
            <w:pPr>
              <w:pStyle w:val="Corpodetexto"/>
              <w:spacing w:after="0" w:line="360" w:lineRule="auto"/>
              <w:jc w:val="both"/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</w:pPr>
            <w:r w:rsidRPr="00CC5750"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  <w:t xml:space="preserve">O curso se propõe a examinar os procedimentos específicos com que Montaigne exercita nos </w:t>
            </w:r>
            <w:r w:rsidRPr="00CC5750">
              <w:rPr>
                <w:rFonts w:ascii="Cambria" w:hAnsi="Cambria"/>
                <w:i/>
                <w:color w:val="000000"/>
                <w:sz w:val="22"/>
                <w:szCs w:val="22"/>
                <w:lang w:eastAsia="pt-BR"/>
              </w:rPr>
              <w:t>Ensaios</w:t>
            </w:r>
            <w:r w:rsidRPr="00CC5750"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  <w:t xml:space="preserve"> o conhecimento de si atualizando a lição socrática do conhece-te-a-ti-mesmo no contexto social e político da França do século XVI. Neste sentido importa restituir ao projeto </w:t>
            </w:r>
            <w:proofErr w:type="spellStart"/>
            <w:r w:rsidRPr="00CC5750"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  <w:t>montaigneano</w:t>
            </w:r>
            <w:proofErr w:type="spellEnd"/>
            <w:r w:rsidRPr="00CC5750"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  <w:t xml:space="preserve"> do </w:t>
            </w:r>
            <w:proofErr w:type="spellStart"/>
            <w:r w:rsidRPr="00CC5750"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  <w:t>autoretrato</w:t>
            </w:r>
            <w:proofErr w:type="spellEnd"/>
            <w:r w:rsidRPr="00CC5750"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  <w:t xml:space="preserve"> a sua dimensão construtiva, ética e política, depurando-a de leituras anacrônicas que, norteadas pela noção moderna de subjetividade, o compreendem como introspecção e </w:t>
            </w:r>
            <w:proofErr w:type="spellStart"/>
            <w:r w:rsidRPr="00CC5750"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  <w:t>autoinvestigação</w:t>
            </w:r>
            <w:proofErr w:type="spellEnd"/>
            <w:r w:rsidRPr="00CC5750">
              <w:rPr>
                <w:rFonts w:ascii="Cambria" w:hAnsi="Cambria"/>
                <w:color w:val="000000"/>
                <w:sz w:val="22"/>
                <w:szCs w:val="22"/>
                <w:lang w:eastAsia="pt-BR"/>
              </w:rPr>
              <w:t xml:space="preserve"> de uma dimensão interior dotada de um estatuto metafísico.            </w:t>
            </w:r>
          </w:p>
          <w:p w14:paraId="0C0FAB1F" w14:textId="15810906" w:rsidR="00052177" w:rsidRPr="00CC5750" w:rsidRDefault="00052177" w:rsidP="00FE4E27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2595D" w:rsidRPr="00CC5750" w14:paraId="0C4EBD48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151C800" w14:textId="72958F84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t>Ementa</w:t>
            </w:r>
            <w:r w:rsidR="000E4FCE"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t xml:space="preserve">  </w:t>
            </w:r>
          </w:p>
          <w:p w14:paraId="143D3CB6" w14:textId="01AC33C7" w:rsidR="0062595D" w:rsidRPr="00920D5B" w:rsidRDefault="000E4FCE" w:rsidP="00FE4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</w:pPr>
            <w:r w:rsidRPr="00CC5750">
              <w:rPr>
                <w:rFonts w:ascii="Cambria" w:hAnsi="Cambria"/>
                <w:color w:val="000000"/>
                <w:sz w:val="22"/>
                <w:szCs w:val="22"/>
              </w:rPr>
              <w:t xml:space="preserve">O curso será dividido em duas partes, sendo a primeira dedicada a pensar a possibilidade de uma epistemologia própria à escrita dos </w:t>
            </w:r>
            <w:r w:rsidRPr="00CC5750">
              <w:rPr>
                <w:rFonts w:ascii="Cambria" w:hAnsi="Cambria"/>
                <w:i/>
                <w:color w:val="000000"/>
                <w:sz w:val="22"/>
                <w:szCs w:val="22"/>
              </w:rPr>
              <w:t>Ensaios</w:t>
            </w:r>
            <w:r w:rsidRPr="00CC5750">
              <w:rPr>
                <w:rFonts w:ascii="Cambria" w:hAnsi="Cambria"/>
                <w:color w:val="000000"/>
                <w:sz w:val="22"/>
                <w:szCs w:val="22"/>
              </w:rPr>
              <w:t>, centrada no exercício da imaginação, em que convergem conhecimento e representação do ‘</w:t>
            </w:r>
            <w:r w:rsidRPr="00CC5750">
              <w:rPr>
                <w:rFonts w:ascii="Cambria" w:hAnsi="Cambria"/>
                <w:i/>
                <w:color w:val="000000"/>
                <w:sz w:val="22"/>
                <w:szCs w:val="22"/>
              </w:rPr>
              <w:t>eu’</w:t>
            </w:r>
            <w:r w:rsidRPr="00CC5750">
              <w:rPr>
                <w:rFonts w:ascii="Cambria" w:hAnsi="Cambria"/>
                <w:color w:val="000000"/>
                <w:sz w:val="22"/>
                <w:szCs w:val="22"/>
              </w:rPr>
              <w:t xml:space="preserve">. A leitura principal para tanto será do capítulo </w:t>
            </w:r>
            <w:r w:rsidRPr="00CC5750">
              <w:rPr>
                <w:rFonts w:ascii="Cambria" w:hAnsi="Cambria"/>
                <w:i/>
                <w:color w:val="000000"/>
                <w:sz w:val="22"/>
                <w:szCs w:val="22"/>
              </w:rPr>
              <w:t>Dos Canibais</w:t>
            </w:r>
            <w:r w:rsidRPr="00CC5750">
              <w:rPr>
                <w:rFonts w:ascii="Cambria" w:hAnsi="Cambria"/>
                <w:color w:val="000000"/>
                <w:sz w:val="22"/>
                <w:szCs w:val="22"/>
              </w:rPr>
              <w:t xml:space="preserve"> onde a postulação da alteridade absoluta do ameríndio vem reforçar o estranhamento de si próprio e, portanto, a indagação sobre si nos valores e costumes que o constituem, bem como, indiretamente, a uma crítica radical das sociedades europeias. A segunda parte do curso explicita efetivamente o conteúdo político da imagem do ‘</w:t>
            </w:r>
            <w:r w:rsidRPr="00CC5750">
              <w:rPr>
                <w:rFonts w:ascii="Cambria" w:hAnsi="Cambria"/>
                <w:i/>
                <w:color w:val="000000"/>
                <w:sz w:val="22"/>
                <w:szCs w:val="22"/>
              </w:rPr>
              <w:t>eu’</w:t>
            </w:r>
            <w:r w:rsidRPr="00CC5750">
              <w:rPr>
                <w:rFonts w:ascii="Cambria" w:hAnsi="Cambria"/>
                <w:color w:val="000000"/>
                <w:sz w:val="22"/>
                <w:szCs w:val="22"/>
              </w:rPr>
              <w:t xml:space="preserve"> que se constitui no livro através da leitura do capítulo </w:t>
            </w:r>
            <w:r w:rsidRPr="00CC5750">
              <w:rPr>
                <w:rFonts w:ascii="Cambria" w:hAnsi="Cambria"/>
                <w:i/>
                <w:color w:val="000000"/>
                <w:sz w:val="22"/>
                <w:szCs w:val="22"/>
              </w:rPr>
              <w:t>Da Incomodidade da Grandeza</w:t>
            </w:r>
            <w:r w:rsidRPr="00CC5750">
              <w:rPr>
                <w:rFonts w:ascii="Cambria" w:hAnsi="Cambria"/>
                <w:color w:val="000000"/>
                <w:sz w:val="22"/>
                <w:szCs w:val="22"/>
              </w:rPr>
              <w:t xml:space="preserve">, em que Montaigne critica as doutrinas absolutistas que tomavam corpo em seu tempo.     </w:t>
            </w:r>
          </w:p>
        </w:tc>
      </w:tr>
      <w:tr w:rsidR="000E4FCE" w:rsidRPr="00CC5750" w14:paraId="3D6665D5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3287F12" w14:textId="6EAFB2E9" w:rsidR="000E4FCE" w:rsidRPr="00CC5750" w:rsidRDefault="000E4FCE" w:rsidP="000E4FCE">
            <w:pPr>
              <w:pStyle w:val="Recuodecorpodetexto"/>
              <w:spacing w:line="360" w:lineRule="auto"/>
              <w:rPr>
                <w:rFonts w:ascii="Cambria" w:hAnsi="Cambria" w:cs="Arial"/>
                <w:smallCaps/>
                <w:sz w:val="22"/>
                <w:szCs w:val="22"/>
                <w:shd w:val="clear" w:color="auto" w:fill="FFFF00"/>
              </w:rPr>
            </w:pPr>
            <w:r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lastRenderedPageBreak/>
              <w:t>Conteúdo Programático</w:t>
            </w:r>
          </w:p>
          <w:p w14:paraId="139F8B31" w14:textId="77777777" w:rsidR="000E4FCE" w:rsidRPr="00CC5750" w:rsidRDefault="000E4FCE" w:rsidP="000E4FCE">
            <w:pPr>
              <w:pStyle w:val="Recuodecorpodetexto"/>
              <w:spacing w:line="360" w:lineRule="auto"/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</w:pP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I </w:t>
            </w:r>
            <w:r w:rsidRPr="00CC5750">
              <w:rPr>
                <w:rFonts w:ascii="Cambria" w:hAnsi="Cambria" w:cs="Arial"/>
                <w:b/>
                <w:smallCaps/>
                <w:sz w:val="22"/>
                <w:szCs w:val="22"/>
                <w:shd w:val="clear" w:color="auto" w:fill="FFFFFF"/>
              </w:rPr>
              <w:t>– Conhecimento do outro como via para o conhecimento de si: discurso político indireto.</w:t>
            </w:r>
          </w:p>
          <w:p w14:paraId="6AAB8C5F" w14:textId="77777777" w:rsidR="000E4FCE" w:rsidRPr="00CC5750" w:rsidRDefault="000E4FCE" w:rsidP="000E4FCE">
            <w:pPr>
              <w:pStyle w:val="Recuodecorpodetexto"/>
              <w:spacing w:line="360" w:lineRule="auto"/>
              <w:ind w:left="360"/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</w:pP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- Leitura de </w:t>
            </w:r>
            <w:r w:rsidRPr="00CC5750">
              <w:rPr>
                <w:rFonts w:ascii="Cambria" w:hAnsi="Cambria" w:cs="Arial"/>
                <w:i/>
                <w:smallCaps/>
                <w:sz w:val="22"/>
                <w:szCs w:val="22"/>
                <w:shd w:val="clear" w:color="auto" w:fill="FFFFFF"/>
              </w:rPr>
              <w:t>Dos Canibais</w:t>
            </w: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 (I,31)</w:t>
            </w:r>
          </w:p>
          <w:p w14:paraId="523513D8" w14:textId="77777777" w:rsidR="000E4FCE" w:rsidRPr="00CC5750" w:rsidRDefault="000E4FCE" w:rsidP="000E4FCE">
            <w:pPr>
              <w:pStyle w:val="Recuodecorpodetexto"/>
              <w:spacing w:line="360" w:lineRule="auto"/>
              <w:ind w:left="360"/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</w:pP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Crítica cética da razão na pretensão de alcançar o conhecimento objetivo da alteridade dos ameríndios e função epistemológica da imaginação na maneira como Montaigne descreve a sociedade ameríndia. </w:t>
            </w:r>
          </w:p>
          <w:p w14:paraId="59471E8F" w14:textId="77777777" w:rsidR="000E4FCE" w:rsidRPr="00CC5750" w:rsidRDefault="000E4FCE" w:rsidP="000E4FCE">
            <w:pPr>
              <w:pStyle w:val="Recuodecorpodetexto"/>
              <w:spacing w:line="360" w:lineRule="auto"/>
              <w:ind w:left="360"/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</w:pP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>- Assimilação entre razão e imaginação</w:t>
            </w:r>
          </w:p>
          <w:p w14:paraId="186C2CAB" w14:textId="77777777" w:rsidR="000E4FCE" w:rsidRPr="00CC5750" w:rsidRDefault="000E4FCE" w:rsidP="000E4FCE">
            <w:pPr>
              <w:pStyle w:val="Recuodecorpodetexto"/>
              <w:spacing w:line="360" w:lineRule="auto"/>
              <w:ind w:left="360"/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</w:pP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Leitura de trechos da </w:t>
            </w:r>
            <w:r w:rsidRPr="00CC5750">
              <w:rPr>
                <w:rFonts w:ascii="Cambria" w:hAnsi="Cambria" w:cs="Arial"/>
                <w:i/>
                <w:smallCaps/>
                <w:sz w:val="22"/>
                <w:szCs w:val="22"/>
                <w:shd w:val="clear" w:color="auto" w:fill="FFFFFF"/>
              </w:rPr>
              <w:t>Apologia de Raymond Sebond</w:t>
            </w: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 (II, 12) e </w:t>
            </w:r>
            <w:r w:rsidRPr="00CC5750">
              <w:rPr>
                <w:rFonts w:ascii="Cambria" w:hAnsi="Cambria" w:cs="Arial"/>
                <w:i/>
                <w:smallCaps/>
                <w:sz w:val="22"/>
                <w:szCs w:val="22"/>
                <w:shd w:val="clear" w:color="auto" w:fill="FFFFFF"/>
              </w:rPr>
              <w:t>A Força da Imaginação</w:t>
            </w: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 (I,21)</w:t>
            </w:r>
          </w:p>
          <w:p w14:paraId="08FA5200" w14:textId="77777777" w:rsidR="000E4FCE" w:rsidRPr="00CC5750" w:rsidRDefault="000E4FCE" w:rsidP="000E4FCE">
            <w:pPr>
              <w:pStyle w:val="Recuodecorpodetexto"/>
              <w:spacing w:line="360" w:lineRule="auto"/>
              <w:ind w:left="360"/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</w:pP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Leitura de Trechos do tratado aristotélico </w:t>
            </w:r>
            <w:r w:rsidRPr="00CC5750">
              <w:rPr>
                <w:rFonts w:ascii="Cambria" w:hAnsi="Cambria" w:cs="Arial"/>
                <w:i/>
                <w:smallCaps/>
                <w:sz w:val="22"/>
                <w:szCs w:val="22"/>
                <w:shd w:val="clear" w:color="auto" w:fill="FFFFFF"/>
              </w:rPr>
              <w:t>De Anima</w:t>
            </w: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 e de Sexto Empírico</w:t>
            </w:r>
          </w:p>
          <w:p w14:paraId="06286E1F" w14:textId="77777777" w:rsidR="000E4FCE" w:rsidRPr="00CC5750" w:rsidRDefault="000E4FCE" w:rsidP="000E4FCE">
            <w:pPr>
              <w:pStyle w:val="Recuodecorpodetexto"/>
              <w:spacing w:line="360" w:lineRule="auto"/>
              <w:rPr>
                <w:rFonts w:ascii="Cambria" w:hAnsi="Cambria" w:cs="Arial"/>
                <w:b/>
                <w:smallCaps/>
                <w:sz w:val="22"/>
                <w:szCs w:val="22"/>
                <w:shd w:val="clear" w:color="auto" w:fill="FFFFFF"/>
              </w:rPr>
            </w:pP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>II –</w:t>
            </w:r>
            <w:r w:rsidRPr="00CC5750">
              <w:rPr>
                <w:rFonts w:ascii="Cambria" w:hAnsi="Cambria" w:cs="Arial"/>
                <w:b/>
                <w:smallCaps/>
                <w:sz w:val="22"/>
                <w:szCs w:val="22"/>
                <w:shd w:val="clear" w:color="auto" w:fill="FFFFFF"/>
              </w:rPr>
              <w:t>: Discurso político direto: um precursor do constitucionalismo?</w:t>
            </w:r>
          </w:p>
          <w:p w14:paraId="3BAD47E7" w14:textId="77777777" w:rsidR="000E4FCE" w:rsidRDefault="000E4FCE" w:rsidP="00920D5B">
            <w:pPr>
              <w:pStyle w:val="Recuodecorpodetexto"/>
              <w:spacing w:line="360" w:lineRule="auto"/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</w:pPr>
            <w:r w:rsidRPr="00CC5750">
              <w:rPr>
                <w:rFonts w:ascii="Cambria" w:hAnsi="Cambria" w:cs="Arial"/>
                <w:b/>
                <w:smallCaps/>
                <w:sz w:val="22"/>
                <w:szCs w:val="22"/>
                <w:shd w:val="clear" w:color="auto" w:fill="FFFFFF"/>
              </w:rPr>
              <w:t xml:space="preserve">      - </w:t>
            </w: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>Leitura do ensaio “</w:t>
            </w:r>
            <w:r w:rsidRPr="00CC5750">
              <w:rPr>
                <w:rFonts w:ascii="Cambria" w:hAnsi="Cambria" w:cs="Arial"/>
                <w:i/>
                <w:smallCaps/>
                <w:sz w:val="22"/>
                <w:szCs w:val="22"/>
                <w:shd w:val="clear" w:color="auto" w:fill="FFFFFF"/>
              </w:rPr>
              <w:t>Da Incomodidade da Grandeza</w:t>
            </w: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>” (III, 7) e os efeitos ético-políticos da imagem do ‘</w:t>
            </w:r>
            <w:r w:rsidRPr="00CC5750">
              <w:rPr>
                <w:rFonts w:ascii="Cambria" w:hAnsi="Cambria" w:cs="Arial"/>
                <w:i/>
                <w:smallCaps/>
                <w:sz w:val="22"/>
                <w:szCs w:val="22"/>
                <w:shd w:val="clear" w:color="auto" w:fill="FFFFFF"/>
              </w:rPr>
              <w:t>eu</w:t>
            </w:r>
            <w:r w:rsidRPr="00CC5750"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  <w:t xml:space="preserve">’ nos Ensaios: reivindicação da liberdade e autonomia do próprio juízo face às doutrinas absolutistas na França do século XVI. </w:t>
            </w:r>
          </w:p>
          <w:p w14:paraId="2C471110" w14:textId="24B4805D" w:rsidR="00920D5B" w:rsidRPr="00920D5B" w:rsidRDefault="00920D5B" w:rsidP="00920D5B">
            <w:pPr>
              <w:pStyle w:val="Recuodecorpodetexto"/>
              <w:spacing w:line="360" w:lineRule="auto"/>
              <w:rPr>
                <w:rFonts w:ascii="Cambria" w:hAnsi="Cambria" w:cs="Arial"/>
                <w:smallCaps/>
                <w:sz w:val="22"/>
                <w:szCs w:val="22"/>
                <w:shd w:val="clear" w:color="auto" w:fill="FFFFFF"/>
              </w:rPr>
            </w:pPr>
          </w:p>
        </w:tc>
      </w:tr>
      <w:tr w:rsidR="000E4FCE" w:rsidRPr="00CC5750" w14:paraId="332B835B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C5D801C" w14:textId="656F8D80" w:rsidR="000E4FCE" w:rsidRPr="00CC5750" w:rsidRDefault="000E4FCE" w:rsidP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t>Metodologia de ensino</w:t>
            </w:r>
          </w:p>
          <w:p w14:paraId="6B12B2B4" w14:textId="77777777" w:rsidR="000E4FCE" w:rsidRPr="00CC5750" w:rsidRDefault="000E4FCE" w:rsidP="000E4FCE">
            <w:pPr>
              <w:tabs>
                <w:tab w:val="left" w:pos="1666"/>
              </w:tabs>
              <w:spacing w:line="360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C5750">
              <w:rPr>
                <w:rFonts w:ascii="Cambria" w:hAnsi="Cambria" w:cs="Arial"/>
                <w:bCs/>
                <w:sz w:val="22"/>
                <w:szCs w:val="22"/>
              </w:rPr>
              <w:t xml:space="preserve">Aulas expositivas, leitura e discussão dirigida dos textos. </w:t>
            </w:r>
          </w:p>
          <w:p w14:paraId="61626D48" w14:textId="4C16462C" w:rsidR="000E4FCE" w:rsidRPr="00CC5750" w:rsidRDefault="000E4FCE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1. Encontros síncronos (</w:t>
            </w:r>
            <w:r w:rsidR="00CC5750">
              <w:rPr>
                <w:rFonts w:ascii="Cambria" w:hAnsi="Cambria"/>
                <w:b/>
                <w:bCs/>
                <w:sz w:val="22"/>
                <w:szCs w:val="22"/>
              </w:rPr>
              <w:t xml:space="preserve">via </w:t>
            </w: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 xml:space="preserve">Google </w:t>
            </w:r>
            <w:proofErr w:type="spellStart"/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Meet</w:t>
            </w:r>
            <w:proofErr w:type="spellEnd"/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).</w:t>
            </w:r>
          </w:p>
          <w:p w14:paraId="1807593F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CF7838D" w14:textId="77777777" w:rsidR="000E4FCE" w:rsidRPr="00CC5750" w:rsidRDefault="000E4FCE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2. Alternativas para os alunos que não puderem participar dos encontros síncronos (via e-mail institucional):</w:t>
            </w:r>
          </w:p>
          <w:p w14:paraId="107EE38B" w14:textId="65E8876B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182F63E" w14:textId="49FEA340" w:rsidR="000E4FCE" w:rsidRDefault="000E4FCE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 xml:space="preserve"> 3. Trabalhos escritos, exercícios e dissertações.</w:t>
            </w:r>
          </w:p>
          <w:p w14:paraId="48C99C8D" w14:textId="79879FF1" w:rsidR="006B3017" w:rsidRDefault="006B3017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30FCEC5" w14:textId="4374A1B7" w:rsidR="006B3017" w:rsidRDefault="006B3017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4. Leituras complementares (para acompanhamento do curso).</w:t>
            </w:r>
          </w:p>
          <w:p w14:paraId="6C6CBAED" w14:textId="77777777" w:rsidR="006B3017" w:rsidRPr="00CC5750" w:rsidRDefault="006B3017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4AAB6B1" w14:textId="77777777" w:rsidR="00920D5B" w:rsidRDefault="00CC5750" w:rsidP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t xml:space="preserve">Recursos Instrucionais:  </w:t>
            </w:r>
          </w:p>
          <w:p w14:paraId="225AFC61" w14:textId="77777777" w:rsidR="00920D5B" w:rsidRDefault="00CC5750" w:rsidP="0092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>Vídeos, podcasts, atividades síncronas, elaboração de textos</w:t>
            </w:r>
            <w:r w:rsidR="00920D5B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40485D2E" w14:textId="011F21A9" w:rsidR="00920D5B" w:rsidRPr="00920D5B" w:rsidRDefault="00920D5B" w:rsidP="0092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 material de estudo estará disponível em meios digitais.</w:t>
            </w:r>
          </w:p>
        </w:tc>
      </w:tr>
      <w:tr w:rsidR="000E4FCE" w:rsidRPr="00CC5750" w14:paraId="64EFAC3C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75B0523" w14:textId="77777777" w:rsidR="000E4FCE" w:rsidRPr="00CC5750" w:rsidRDefault="000E4FCE" w:rsidP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t>Avaliação:</w:t>
            </w: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7D56C054" w14:textId="6B1EF178" w:rsidR="000E4FCE" w:rsidRPr="00CC5750" w:rsidRDefault="000E4FCE" w:rsidP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 w:cs="Calibri"/>
                <w:i/>
                <w:color w:val="40404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>Conceito final da unidade curricular: “cumprido/não cumprido”</w:t>
            </w:r>
            <w:r w:rsidRPr="00CC5750">
              <w:rPr>
                <w:rFonts w:ascii="Cambria" w:eastAsia="Calibri" w:hAnsi="Cambria" w:cs="Calibri"/>
                <w:i/>
                <w:color w:val="404040"/>
                <w:sz w:val="22"/>
                <w:szCs w:val="22"/>
              </w:rPr>
              <w:t>.</w:t>
            </w:r>
          </w:p>
          <w:p w14:paraId="1D227A7D" w14:textId="4EC1C47B" w:rsidR="00CC5750" w:rsidRPr="00CC5750" w:rsidRDefault="00CC5750" w:rsidP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 w:cs="Calibri"/>
                <w:i/>
                <w:color w:val="404040"/>
                <w:sz w:val="22"/>
                <w:szCs w:val="22"/>
              </w:rPr>
            </w:pPr>
          </w:p>
          <w:p w14:paraId="3CED70DB" w14:textId="7A96A61A" w:rsidR="00CC5750" w:rsidRPr="00CC5750" w:rsidRDefault="00CC5750" w:rsidP="00CC5750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>Participação do/as estudantes e capacidade de trabalhar com os conceitos e conteúdos desenvolvidos na UC</w:t>
            </w:r>
          </w:p>
          <w:p w14:paraId="4CAB5BDB" w14:textId="77777777" w:rsidR="000E4FCE" w:rsidRPr="00CC5750" w:rsidRDefault="000E4FCE" w:rsidP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 w:cs="Calibri"/>
                <w:color w:val="000000"/>
                <w:sz w:val="22"/>
                <w:szCs w:val="22"/>
              </w:rPr>
            </w:pPr>
          </w:p>
        </w:tc>
      </w:tr>
      <w:tr w:rsidR="000E4FCE" w:rsidRPr="00CC5750" w14:paraId="3A8D474F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510E3C0" w14:textId="493CB204" w:rsidR="000E4FCE" w:rsidRPr="00CC5750" w:rsidRDefault="000E4FCE" w:rsidP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mbria" w:eastAsia="Verdana" w:hAnsi="Cambria" w:cs="Verdana"/>
                <w:i/>
                <w:smallCaps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t>Bibliografia</w:t>
            </w:r>
          </w:p>
          <w:p w14:paraId="4F4F67C0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ARISTÓTELES. De Anima/Da Alma. São Paulo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Edipro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, 2011.</w:t>
            </w:r>
          </w:p>
          <w:p w14:paraId="344C1B4D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MONTAIGNE. </w:t>
            </w:r>
            <w:r w:rsidRPr="00CC5750">
              <w:rPr>
                <w:rFonts w:ascii="Cambria" w:hAnsi="Cambria" w:cs="Arial"/>
                <w:i/>
                <w:sz w:val="22"/>
                <w:szCs w:val="22"/>
              </w:rPr>
              <w:t>Ensaios</w:t>
            </w:r>
            <w:r w:rsidRPr="00CC5750">
              <w:rPr>
                <w:rFonts w:ascii="Cambria" w:hAnsi="Cambria" w:cs="Arial"/>
                <w:sz w:val="22"/>
                <w:szCs w:val="22"/>
              </w:rPr>
              <w:t>. São Paulo: Martins Fontes, 2002.</w:t>
            </w:r>
          </w:p>
          <w:p w14:paraId="66C017B0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lastRenderedPageBreak/>
              <w:t xml:space="preserve">-------------------.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Essais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Édition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de Pierre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Villey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avec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appendices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sources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, index. Paris:</w:t>
            </w:r>
          </w:p>
          <w:p w14:paraId="7259960C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Quadrige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;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Presses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Universitaires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de France, 1988.</w:t>
            </w:r>
          </w:p>
          <w:p w14:paraId="71DE45C3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PLATÃO, </w:t>
            </w:r>
            <w:r w:rsidRPr="00CC5750">
              <w:rPr>
                <w:rFonts w:ascii="Cambria" w:hAnsi="Cambria" w:cs="Arial"/>
                <w:i/>
                <w:sz w:val="22"/>
                <w:szCs w:val="22"/>
              </w:rPr>
              <w:t>A República</w:t>
            </w:r>
            <w:r w:rsidRPr="00CC5750">
              <w:rPr>
                <w:rFonts w:ascii="Cambria" w:hAnsi="Cambria" w:cs="Arial"/>
                <w:sz w:val="22"/>
                <w:szCs w:val="22"/>
              </w:rPr>
              <w:t xml:space="preserve">, Lisboa: Calouste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Gulbekian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, 1991.</w:t>
            </w:r>
          </w:p>
          <w:p w14:paraId="77275055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SÊNECA. De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Providentia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, In: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Stoiciens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II. Testes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traduits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par Émile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Bréhier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. Paris:</w:t>
            </w:r>
          </w:p>
          <w:p w14:paraId="3A41CEE1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>Gallimard, 1962.</w:t>
            </w:r>
          </w:p>
          <w:p w14:paraId="09AA6D47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BLANCHARD, Marc.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Trois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Portraits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de Montaigne: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essai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sur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la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représentation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à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la</w:t>
            </w:r>
            <w:proofErr w:type="spellEnd"/>
          </w:p>
          <w:p w14:paraId="6A2EE09B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Renaissance. Paris: A. G.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Nizet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, 1990.</w:t>
            </w:r>
          </w:p>
          <w:p w14:paraId="236B93C5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CONLEY, Tom, “The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Essays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and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the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New World” In: The Cambridge Companion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to</w:t>
            </w:r>
            <w:proofErr w:type="spellEnd"/>
          </w:p>
          <w:p w14:paraId="7110B0E6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>Montaigne, 2005.</w:t>
            </w:r>
          </w:p>
          <w:p w14:paraId="285F5A92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LESTRIGNANT, Frank. “Montaigne,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Brésil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et l’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unité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du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genre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humaine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” In: Montaigne</w:t>
            </w:r>
          </w:p>
          <w:p w14:paraId="6D2265FB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Studies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: Montaigne et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Nouveau Monde. Volume XXII.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Number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1-2, p. 9 -23.</w:t>
            </w:r>
          </w:p>
          <w:p w14:paraId="5BAF514F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NAKAM,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Geralde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Essais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de Montaigne: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miroir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et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proces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de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leur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temps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. Paris: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Librarie</w:t>
            </w:r>
            <w:proofErr w:type="spellEnd"/>
          </w:p>
          <w:p w14:paraId="6FCF18BE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A. G.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Nizet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, 1984.</w:t>
            </w:r>
          </w:p>
          <w:p w14:paraId="76F51114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ROMÃO, Rui Bertrand. “Nouveau Monde, politiques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anciennes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” In: Montaigne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Studies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329D2760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Montaigne et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le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Nouveau Monde. Volume XXII.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Number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 1-2, p. 173-187.</w:t>
            </w:r>
          </w:p>
          <w:p w14:paraId="51FC5222" w14:textId="77777777" w:rsidR="00CC5750" w:rsidRPr="00CC5750" w:rsidRDefault="00CC5750" w:rsidP="00CC5750">
            <w:pPr>
              <w:tabs>
                <w:tab w:val="left" w:pos="1700"/>
              </w:tabs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SKINNER, Q. </w:t>
            </w:r>
            <w:r w:rsidRPr="00CC5750">
              <w:rPr>
                <w:rFonts w:ascii="Cambria" w:hAnsi="Cambria" w:cs="Arial"/>
                <w:i/>
                <w:sz w:val="22"/>
                <w:szCs w:val="22"/>
              </w:rPr>
              <w:t>As Fundações do Pensamento Político Moderno</w:t>
            </w:r>
            <w:r w:rsidRPr="00CC5750">
              <w:rPr>
                <w:rFonts w:ascii="Cambria" w:hAnsi="Cambria" w:cs="Arial"/>
                <w:sz w:val="22"/>
                <w:szCs w:val="22"/>
              </w:rPr>
              <w:t>. São Paulo, Companhia das Letras, 1996.</w:t>
            </w:r>
          </w:p>
          <w:p w14:paraId="57E7CE66" w14:textId="77777777" w:rsidR="00CC5750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>STAROBINSKI, Jean. Montaigne em movimento. São Paulo, companhia das letras, 1996.</w:t>
            </w:r>
          </w:p>
          <w:p w14:paraId="0F5B3F04" w14:textId="4E3109EE" w:rsidR="000E4FCE" w:rsidRPr="00CC5750" w:rsidRDefault="00CC5750" w:rsidP="00CC5750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C5750">
              <w:rPr>
                <w:rFonts w:ascii="Cambria" w:hAnsi="Cambria" w:cs="Arial"/>
                <w:sz w:val="22"/>
                <w:szCs w:val="22"/>
              </w:rPr>
              <w:t xml:space="preserve">TOURNON,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Andre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 xml:space="preserve">. La Glose et l’ </w:t>
            </w:r>
            <w:proofErr w:type="spellStart"/>
            <w:r w:rsidRPr="00CC5750">
              <w:rPr>
                <w:rFonts w:ascii="Cambria" w:hAnsi="Cambria" w:cs="Arial"/>
                <w:sz w:val="22"/>
                <w:szCs w:val="22"/>
              </w:rPr>
              <w:t>Essai.Paris</w:t>
            </w:r>
            <w:proofErr w:type="spellEnd"/>
            <w:r w:rsidRPr="00CC5750">
              <w:rPr>
                <w:rFonts w:ascii="Cambria" w:hAnsi="Cambria" w:cs="Arial"/>
                <w:sz w:val="22"/>
                <w:szCs w:val="22"/>
              </w:rPr>
              <w:t>: Honoré Champion, 2006.</w:t>
            </w:r>
          </w:p>
        </w:tc>
      </w:tr>
      <w:tr w:rsidR="000E4FCE" w:rsidRPr="00CC5750" w14:paraId="5B874ACE" w14:textId="77777777">
        <w:tc>
          <w:tcPr>
            <w:tcW w:w="99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8F5749B" w14:textId="2CA1FCEC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0"/>
              </w:tabs>
              <w:spacing w:before="120" w:after="120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smallCaps/>
                <w:color w:val="000000"/>
                <w:sz w:val="22"/>
                <w:szCs w:val="22"/>
              </w:rPr>
              <w:lastRenderedPageBreak/>
              <w:t>Docentes participantes</w:t>
            </w:r>
          </w:p>
        </w:tc>
      </w:tr>
      <w:tr w:rsidR="000E4FCE" w:rsidRPr="00CC5750" w14:paraId="197254B7" w14:textId="77777777">
        <w:tc>
          <w:tcPr>
            <w:tcW w:w="1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04D9B46" w14:textId="77777777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C4AAF7C" w14:textId="77777777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Origem (Curso)</w:t>
            </w:r>
          </w:p>
        </w:tc>
        <w:tc>
          <w:tcPr>
            <w:tcW w:w="19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83B06FC" w14:textId="77777777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B87AA6B" w14:textId="77777777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Regime de Trabalho</w:t>
            </w:r>
          </w:p>
        </w:tc>
        <w:tc>
          <w:tcPr>
            <w:tcW w:w="18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EA19F89" w14:textId="77777777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Carga Horária</w:t>
            </w:r>
          </w:p>
        </w:tc>
      </w:tr>
      <w:tr w:rsidR="000E4FCE" w:rsidRPr="00CC5750" w14:paraId="1B79EB97" w14:textId="77777777">
        <w:tc>
          <w:tcPr>
            <w:tcW w:w="1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228B364" w14:textId="1198C3F3" w:rsidR="000E4FCE" w:rsidRPr="00CC5750" w:rsidRDefault="00CC5750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Sérgio Xavier Gomes de Araújo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E76E508" w14:textId="77777777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Filosofia</w:t>
            </w:r>
          </w:p>
        </w:tc>
        <w:tc>
          <w:tcPr>
            <w:tcW w:w="19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23D5EB7" w14:textId="166B6495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Doutor</w:t>
            </w:r>
          </w:p>
        </w:tc>
        <w:tc>
          <w:tcPr>
            <w:tcW w:w="2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67613A" w14:textId="77777777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DE</w:t>
            </w:r>
          </w:p>
        </w:tc>
        <w:tc>
          <w:tcPr>
            <w:tcW w:w="18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409EA9A" w14:textId="1616C3BC" w:rsidR="000E4FCE" w:rsidRPr="00CC5750" w:rsidRDefault="000E4FCE" w:rsidP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40h</w:t>
            </w:r>
          </w:p>
        </w:tc>
      </w:tr>
    </w:tbl>
    <w:p w14:paraId="118155C0" w14:textId="77777777" w:rsidR="009A035B" w:rsidRPr="00CC5750" w:rsidRDefault="009A035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mbria" w:eastAsia="Calibri" w:hAnsi="Cambria" w:cs="Calibri"/>
          <w:b/>
          <w:color w:val="000000"/>
          <w:sz w:val="22"/>
          <w:szCs w:val="22"/>
        </w:rPr>
      </w:pPr>
    </w:p>
    <w:p w14:paraId="294F86D4" w14:textId="77777777" w:rsidR="00EA4ED9" w:rsidRPr="00CC5750" w:rsidRDefault="00EA4ED9" w:rsidP="009A035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mbria" w:eastAsia="Calibri" w:hAnsi="Cambria" w:cs="Calibri"/>
          <w:b/>
          <w:color w:val="C00000"/>
          <w:sz w:val="22"/>
          <w:szCs w:val="22"/>
        </w:rPr>
      </w:pPr>
    </w:p>
    <w:p w14:paraId="5871FA08" w14:textId="2A4EBA58" w:rsidR="0062595D" w:rsidRPr="00CC5750" w:rsidRDefault="00304B14" w:rsidP="009A035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mbria" w:eastAsia="Calibri" w:hAnsi="Cambria" w:cs="Calibri"/>
          <w:b/>
          <w:color w:val="7F7F7F"/>
          <w:sz w:val="22"/>
          <w:szCs w:val="22"/>
        </w:rPr>
      </w:pPr>
      <w:r w:rsidRPr="00CC5750">
        <w:rPr>
          <w:rFonts w:ascii="Cambria" w:eastAsia="Calibri" w:hAnsi="Cambria" w:cs="Calibri"/>
          <w:b/>
          <w:color w:val="C00000"/>
          <w:sz w:val="22"/>
          <w:szCs w:val="22"/>
        </w:rPr>
        <w:t>Cronograma das ATIVIDADES DOMICILIARES ESPECIAIS</w:t>
      </w:r>
    </w:p>
    <w:p w14:paraId="2791DDD9" w14:textId="77777777" w:rsidR="0062595D" w:rsidRPr="00CC5750" w:rsidRDefault="00304B1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mbria" w:eastAsia="Calibri" w:hAnsi="Cambria" w:cs="Calibri"/>
          <w:b/>
          <w:color w:val="000000"/>
          <w:sz w:val="22"/>
          <w:szCs w:val="22"/>
        </w:rPr>
      </w:pPr>
      <w:r w:rsidRPr="00CC5750">
        <w:rPr>
          <w:rFonts w:ascii="Cambria" w:eastAsia="Calibri" w:hAnsi="Cambria" w:cs="Calibri"/>
          <w:b/>
          <w:color w:val="000000"/>
          <w:sz w:val="22"/>
          <w:szCs w:val="22"/>
        </w:rPr>
        <w:t>De 03 de agosto a 19 de outubro de 2020</w:t>
      </w:r>
    </w:p>
    <w:tbl>
      <w:tblPr>
        <w:tblStyle w:val="a0"/>
        <w:tblW w:w="102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92"/>
        <w:gridCol w:w="1109"/>
      </w:tblGrid>
      <w:tr w:rsidR="000E4FCE" w:rsidRPr="00CC5750" w14:paraId="157F5445" w14:textId="77777777" w:rsidTr="00C13081">
        <w:trPr>
          <w:jc w:val="center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F77E8" w14:textId="70B90191" w:rsidR="000E4FCE" w:rsidRPr="00CC5750" w:rsidRDefault="000E4FCE" w:rsidP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97E6D6" w14:textId="6C0FF6E6" w:rsidR="000E4FCE" w:rsidRPr="00CC5750" w:rsidRDefault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  <w:t>Horas</w:t>
            </w:r>
          </w:p>
        </w:tc>
      </w:tr>
      <w:tr w:rsidR="000E4FCE" w:rsidRPr="00CC5750" w14:paraId="714D7C58" w14:textId="77777777" w:rsidTr="00C13081">
        <w:trPr>
          <w:jc w:val="center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B1FBBC" w14:textId="77777777" w:rsidR="00CC5750" w:rsidRPr="00CC5750" w:rsidRDefault="00CC5750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0441BBA" w14:textId="38DFD317" w:rsidR="000E4FCE" w:rsidRPr="00CC5750" w:rsidRDefault="000E4FCE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 xml:space="preserve">1. Encontros síncronos (Google </w:t>
            </w:r>
            <w:proofErr w:type="spellStart"/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Meet</w:t>
            </w:r>
            <w:proofErr w:type="spellEnd"/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).</w:t>
            </w:r>
          </w:p>
          <w:p w14:paraId="55F9DEFF" w14:textId="1CE2F85C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Horários</w:t>
            </w:r>
            <w:r w:rsidRPr="00CC5750">
              <w:rPr>
                <w:rFonts w:ascii="Cambria" w:hAnsi="Cambria"/>
                <w:sz w:val="22"/>
                <w:szCs w:val="22"/>
              </w:rPr>
              <w:t>: 14h às 16h (Vespertino) e 19h às 21 (Noturno).</w:t>
            </w:r>
          </w:p>
          <w:p w14:paraId="6DECCE13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Dias</w:t>
            </w:r>
            <w:r w:rsidRPr="00CC5750">
              <w:rPr>
                <w:rFonts w:ascii="Cambria" w:hAnsi="Cambria"/>
                <w:sz w:val="22"/>
                <w:szCs w:val="22"/>
              </w:rPr>
              <w:t xml:space="preserve">: 03/08; 10/08; 17/08; 24/08; 31/08; 14/09; 21/09; 28/09; 05/10; 19/10. </w:t>
            </w:r>
          </w:p>
          <w:p w14:paraId="30AAAF41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EDDAA6D" w14:textId="77777777" w:rsidR="00CC5750" w:rsidRPr="00CC5750" w:rsidRDefault="00CC5750" w:rsidP="00CC5750">
            <w:pPr>
              <w:tabs>
                <w:tab w:val="left" w:pos="1666"/>
              </w:tabs>
              <w:spacing w:line="360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C5750">
              <w:rPr>
                <w:rFonts w:ascii="Cambria" w:hAnsi="Cambria" w:cs="Arial"/>
                <w:bCs/>
                <w:sz w:val="22"/>
                <w:szCs w:val="22"/>
              </w:rPr>
              <w:t xml:space="preserve">Aulas expositivas, leitura e discussão dirigida dos textos. </w:t>
            </w:r>
          </w:p>
          <w:p w14:paraId="1BA91CE6" w14:textId="443D2087" w:rsidR="00CC5750" w:rsidRPr="00CC5750" w:rsidRDefault="00CC5750" w:rsidP="00CC5750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7EAE27" w14:textId="77777777" w:rsidR="000E4FCE" w:rsidRPr="00CC5750" w:rsidRDefault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</w:pPr>
          </w:p>
          <w:p w14:paraId="41C658E7" w14:textId="3777FD95" w:rsidR="00CC5750" w:rsidRPr="00CC5750" w:rsidRDefault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  <w:t>40h</w:t>
            </w:r>
          </w:p>
        </w:tc>
      </w:tr>
      <w:tr w:rsidR="000E4FCE" w:rsidRPr="00CC5750" w14:paraId="79A6D6CE" w14:textId="77777777" w:rsidTr="00C13081">
        <w:trPr>
          <w:jc w:val="center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2C2B54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F8717D3" w14:textId="781EBB22" w:rsidR="000E4FCE" w:rsidRPr="00CC5750" w:rsidRDefault="000E4FCE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2. Alternativas para os alunos que não puderem participar dos encontros síncronos (via e-mail institucional)</w:t>
            </w:r>
            <w:r w:rsidR="00CC5750" w:rsidRPr="00CC5750">
              <w:rPr>
                <w:rFonts w:ascii="Cambria" w:hAnsi="Cambria"/>
                <w:b/>
                <w:bCs/>
                <w:sz w:val="22"/>
                <w:szCs w:val="22"/>
              </w:rPr>
              <w:t xml:space="preserve"> - 40h</w:t>
            </w: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  <w:p w14:paraId="6CA9B91D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>Orientações de leituras, a partir da seleção de passagens escolhidas dos textos (estudos dirigidos).</w:t>
            </w:r>
          </w:p>
          <w:p w14:paraId="462F87F8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 xml:space="preserve">Atividade I (dias 03 e 10/08): Montaigne, </w:t>
            </w:r>
            <w:r w:rsidRPr="00CC5750">
              <w:rPr>
                <w:rFonts w:ascii="Cambria" w:hAnsi="Cambria"/>
                <w:i/>
                <w:sz w:val="22"/>
                <w:szCs w:val="22"/>
              </w:rPr>
              <w:t>Dos Canibais</w:t>
            </w:r>
            <w:r w:rsidRPr="00CC5750">
              <w:rPr>
                <w:rFonts w:ascii="Cambria" w:hAnsi="Cambria"/>
                <w:sz w:val="22"/>
                <w:szCs w:val="22"/>
              </w:rPr>
              <w:t>, II.31 (trecho a escolher).</w:t>
            </w:r>
          </w:p>
          <w:p w14:paraId="28800771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 xml:space="preserve">Atividade II (dias 17 e 24/08): Montaigne, </w:t>
            </w:r>
            <w:r w:rsidRPr="00CC5750">
              <w:rPr>
                <w:rFonts w:ascii="Cambria" w:hAnsi="Cambria"/>
                <w:i/>
                <w:sz w:val="22"/>
                <w:szCs w:val="22"/>
              </w:rPr>
              <w:t xml:space="preserve">Apologia de Raymond </w:t>
            </w:r>
            <w:proofErr w:type="spellStart"/>
            <w:r w:rsidRPr="00CC5750">
              <w:rPr>
                <w:rFonts w:ascii="Cambria" w:hAnsi="Cambria"/>
                <w:i/>
                <w:sz w:val="22"/>
                <w:szCs w:val="22"/>
              </w:rPr>
              <w:t>Sebond</w:t>
            </w:r>
            <w:proofErr w:type="spellEnd"/>
            <w:r w:rsidRPr="00CC5750">
              <w:rPr>
                <w:rFonts w:ascii="Cambria" w:hAnsi="Cambria"/>
                <w:i/>
                <w:sz w:val="22"/>
                <w:szCs w:val="22"/>
              </w:rPr>
              <w:t>,</w:t>
            </w:r>
            <w:r w:rsidRPr="00CC5750">
              <w:rPr>
                <w:rFonts w:ascii="Cambria" w:hAnsi="Cambria"/>
                <w:sz w:val="22"/>
                <w:szCs w:val="22"/>
              </w:rPr>
              <w:t xml:space="preserve"> II.12 (trecho a escolher).</w:t>
            </w:r>
          </w:p>
          <w:p w14:paraId="52AA456E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 xml:space="preserve">Atividade III (dia 31/08 e 14/09): Sêneca, </w:t>
            </w:r>
            <w:r w:rsidRPr="00CC5750">
              <w:rPr>
                <w:rFonts w:ascii="Cambria" w:hAnsi="Cambria"/>
                <w:i/>
                <w:sz w:val="22"/>
                <w:szCs w:val="22"/>
              </w:rPr>
              <w:t xml:space="preserve">De </w:t>
            </w:r>
            <w:proofErr w:type="spellStart"/>
            <w:r w:rsidRPr="00CC5750">
              <w:rPr>
                <w:rFonts w:ascii="Cambria" w:hAnsi="Cambria"/>
                <w:i/>
                <w:sz w:val="22"/>
                <w:szCs w:val="22"/>
              </w:rPr>
              <w:t>Providentia</w:t>
            </w:r>
            <w:proofErr w:type="spellEnd"/>
            <w:r w:rsidRPr="00CC5750">
              <w:rPr>
                <w:rFonts w:ascii="Cambria" w:hAnsi="Cambria"/>
                <w:sz w:val="22"/>
                <w:szCs w:val="22"/>
              </w:rPr>
              <w:t>.</w:t>
            </w:r>
          </w:p>
          <w:p w14:paraId="69365C75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 xml:space="preserve">Atividade IV (dia 21 e 28/09): Sexto Empírico, </w:t>
            </w:r>
            <w:proofErr w:type="spellStart"/>
            <w:r w:rsidRPr="00CC5750">
              <w:rPr>
                <w:rFonts w:ascii="Cambria" w:hAnsi="Cambria"/>
                <w:i/>
                <w:sz w:val="22"/>
                <w:szCs w:val="22"/>
              </w:rPr>
              <w:t>Hipotiposes</w:t>
            </w:r>
            <w:proofErr w:type="spellEnd"/>
            <w:r w:rsidRPr="00CC5750">
              <w:rPr>
                <w:rFonts w:ascii="Cambria" w:hAnsi="Cambria"/>
                <w:i/>
                <w:sz w:val="22"/>
                <w:szCs w:val="22"/>
              </w:rPr>
              <w:t xml:space="preserve"> Pirrônicas</w:t>
            </w:r>
            <w:r w:rsidRPr="00CC5750">
              <w:rPr>
                <w:rFonts w:ascii="Cambria" w:hAnsi="Cambria"/>
                <w:sz w:val="22"/>
                <w:szCs w:val="22"/>
              </w:rPr>
              <w:t>, (trechos a escolher)</w:t>
            </w:r>
          </w:p>
          <w:p w14:paraId="25151CE7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 xml:space="preserve">Atividade V (dia 05/10 e 19/10): Montaigne, </w:t>
            </w:r>
            <w:r w:rsidRPr="00CC5750">
              <w:rPr>
                <w:rFonts w:ascii="Cambria" w:hAnsi="Cambria"/>
                <w:i/>
                <w:sz w:val="22"/>
                <w:szCs w:val="22"/>
              </w:rPr>
              <w:t>Da Incomodidade da Grandeza</w:t>
            </w:r>
            <w:r w:rsidRPr="00CC5750">
              <w:rPr>
                <w:rFonts w:ascii="Cambria" w:hAnsi="Cambria"/>
                <w:sz w:val="22"/>
                <w:szCs w:val="22"/>
              </w:rPr>
              <w:t>, III.7.</w:t>
            </w:r>
          </w:p>
          <w:p w14:paraId="7EF1A96D" w14:textId="7C24A684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FDAB71" w14:textId="77777777" w:rsidR="000E4FCE" w:rsidRPr="00CC5750" w:rsidRDefault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0E4FCE" w:rsidRPr="00CC5750" w14:paraId="49AAC2A7" w14:textId="77777777" w:rsidTr="00C13081">
        <w:trPr>
          <w:jc w:val="center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AE035D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0C3EBCA" w14:textId="77777777" w:rsidR="000E4FCE" w:rsidRPr="00CC5750" w:rsidRDefault="000E4FCE" w:rsidP="000E4FC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 xml:space="preserve"> 3. Trabalhos escritos, exercícios e dissertações.</w:t>
            </w:r>
          </w:p>
          <w:p w14:paraId="37397887" w14:textId="77777777" w:rsidR="000E4FCE" w:rsidRPr="00CC5750" w:rsidRDefault="000E4FCE" w:rsidP="000E4FC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>(para cada trabalho escrito, serão computadas 6 horas da carga horária do curso)</w:t>
            </w:r>
          </w:p>
          <w:p w14:paraId="70C4EFD1" w14:textId="77777777" w:rsidR="000E4FCE" w:rsidRDefault="000E4FCE" w:rsidP="00CC575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C5750">
              <w:rPr>
                <w:rFonts w:ascii="Cambria" w:hAnsi="Cambria"/>
                <w:sz w:val="22"/>
                <w:szCs w:val="22"/>
              </w:rPr>
              <w:t>Dias (devolutivas): 17/08, 14/09 e 05/10 (prazo máximo).</w:t>
            </w:r>
          </w:p>
          <w:p w14:paraId="515D3979" w14:textId="4324AB1A" w:rsidR="00CC5750" w:rsidRPr="00CC5750" w:rsidRDefault="00CC5750" w:rsidP="00CC5750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72A82F" w14:textId="7A54E0BB" w:rsidR="000E4FCE" w:rsidRPr="00CC5750" w:rsidRDefault="000E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  <w:t>12</w:t>
            </w:r>
            <w:r w:rsidR="00CC5750" w:rsidRPr="00CC5750"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  <w:t>h</w:t>
            </w:r>
          </w:p>
        </w:tc>
      </w:tr>
      <w:tr w:rsidR="000E4FCE" w:rsidRPr="00CC5750" w14:paraId="5FEB34FC" w14:textId="77777777" w:rsidTr="00C13081">
        <w:trPr>
          <w:jc w:val="center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7901B9" w14:textId="77777777" w:rsidR="00CC5750" w:rsidRDefault="00CC5750" w:rsidP="00CC575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DE5B614" w14:textId="77777777" w:rsidR="000E4FCE" w:rsidRDefault="00CC5750" w:rsidP="00CC5750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5750">
              <w:rPr>
                <w:rFonts w:ascii="Cambria" w:hAnsi="Cambria"/>
                <w:b/>
                <w:bCs/>
                <w:sz w:val="22"/>
                <w:szCs w:val="22"/>
              </w:rPr>
              <w:t>4. Leituras complementares.</w:t>
            </w:r>
          </w:p>
          <w:p w14:paraId="42F88685" w14:textId="76628DC5" w:rsidR="00CC5750" w:rsidRPr="00CC5750" w:rsidRDefault="00CC5750" w:rsidP="00CC5750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4D84C4" w14:textId="12D7C2B2" w:rsidR="000E4FCE" w:rsidRPr="00CC5750" w:rsidRDefault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  <w:t>26h</w:t>
            </w:r>
          </w:p>
        </w:tc>
      </w:tr>
      <w:tr w:rsidR="0062595D" w:rsidRPr="00CC5750" w14:paraId="23E6A3DE" w14:textId="77777777" w:rsidTr="00C13081">
        <w:trPr>
          <w:jc w:val="center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BC5AA" w14:textId="77777777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Cambria" w:eastAsia="Calibri" w:hAnsi="Cambria" w:cs="Calibri"/>
                <w:b/>
                <w:i/>
                <w:color w:val="40404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>Total de horas em ADE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AED83" w14:textId="222EEFE4" w:rsidR="0062595D" w:rsidRPr="00CC5750" w:rsidRDefault="00CC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mbria" w:hAnsi="Cambria" w:cs="Cambria"/>
                <w:b/>
                <w:iCs/>
                <w:color w:val="000000"/>
                <w:sz w:val="22"/>
                <w:szCs w:val="22"/>
              </w:rPr>
              <w:t>78h</w:t>
            </w:r>
          </w:p>
        </w:tc>
      </w:tr>
      <w:tr w:rsidR="0062595D" w:rsidRPr="00CC5750" w14:paraId="622F82B7" w14:textId="77777777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36FD" w14:textId="77777777" w:rsidR="0062595D" w:rsidRPr="00CC5750" w:rsidRDefault="0030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C5750">
              <w:rPr>
                <w:rFonts w:ascii="Cambria" w:eastAsia="Calibri" w:hAnsi="Cambria" w:cs="Calibri"/>
                <w:b/>
                <w:color w:val="000000"/>
                <w:sz w:val="22"/>
                <w:szCs w:val="22"/>
              </w:rPr>
              <w:t>19/10/2020 - Prazo final para preenchimento da pasta verde.</w:t>
            </w:r>
          </w:p>
        </w:tc>
      </w:tr>
    </w:tbl>
    <w:p w14:paraId="55C986CE" w14:textId="07302FB1" w:rsidR="0062595D" w:rsidRPr="00CC5750" w:rsidRDefault="00625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sectPr w:rsidR="0062595D" w:rsidRPr="00CC57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080" w:bottom="72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40C15" w14:textId="77777777" w:rsidR="0009161A" w:rsidRDefault="0009161A">
      <w:r>
        <w:separator/>
      </w:r>
    </w:p>
  </w:endnote>
  <w:endnote w:type="continuationSeparator" w:id="0">
    <w:p w14:paraId="09840806" w14:textId="77777777" w:rsidR="0009161A" w:rsidRDefault="0009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CC2E" w14:textId="77777777" w:rsidR="0062595D" w:rsidRDefault="0062595D">
    <w:pPr>
      <w:pBdr>
        <w:top w:val="nil"/>
        <w:left w:val="nil"/>
        <w:bottom w:val="nil"/>
        <w:right w:val="nil"/>
        <w:between w:val="nil"/>
      </w:pBdr>
      <w:spacing w:before="120" w:after="120"/>
      <w:rPr>
        <w:rFonts w:ascii="Cambria" w:eastAsia="Cambria" w:hAnsi="Cambria" w:cs="Cambria"/>
        <w:b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D2E35" w14:textId="77777777" w:rsidR="0062595D" w:rsidRDefault="0062595D">
    <w:pPr>
      <w:pBdr>
        <w:top w:val="nil"/>
        <w:left w:val="nil"/>
        <w:bottom w:val="nil"/>
        <w:right w:val="nil"/>
        <w:between w:val="nil"/>
      </w:pBdr>
      <w:spacing w:before="120" w:after="120"/>
      <w:rPr>
        <w:rFonts w:ascii="Cambria" w:eastAsia="Cambria" w:hAnsi="Cambria" w:cs="Cambria"/>
        <w:b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0447" w14:textId="77777777" w:rsidR="0062595D" w:rsidRDefault="0062595D">
    <w:pPr>
      <w:pBdr>
        <w:top w:val="nil"/>
        <w:left w:val="nil"/>
        <w:bottom w:val="nil"/>
        <w:right w:val="nil"/>
        <w:between w:val="nil"/>
      </w:pBdr>
      <w:spacing w:before="120" w:after="120"/>
      <w:rPr>
        <w:rFonts w:ascii="Cambria" w:eastAsia="Cambria" w:hAnsi="Cambria" w:cs="Cambria"/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9A087" w14:textId="77777777" w:rsidR="0009161A" w:rsidRDefault="0009161A">
      <w:r>
        <w:separator/>
      </w:r>
    </w:p>
  </w:footnote>
  <w:footnote w:type="continuationSeparator" w:id="0">
    <w:p w14:paraId="0A4CEBC6" w14:textId="77777777" w:rsidR="0009161A" w:rsidRDefault="0009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56302" w14:textId="77777777" w:rsidR="0062595D" w:rsidRDefault="00304B14">
    <w:pPr>
      <w:pBdr>
        <w:top w:val="nil"/>
        <w:left w:val="nil"/>
        <w:bottom w:val="nil"/>
        <w:right w:val="nil"/>
        <w:between w:val="nil"/>
      </w:pBdr>
      <w:tabs>
        <w:tab w:val="left" w:pos="2160"/>
      </w:tabs>
      <w:spacing w:before="120"/>
      <w:ind w:left="2160"/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b/>
        <w:color w:val="000000"/>
      </w:rPr>
      <w:t xml:space="preserve">                            </w:t>
    </w:r>
    <w:r>
      <w:rPr>
        <w:rFonts w:ascii="Cambria" w:eastAsia="Cambria" w:hAnsi="Cambria" w:cs="Cambria"/>
        <w:b/>
        <w:color w:val="000000"/>
        <w:sz w:val="18"/>
        <w:szCs w:val="18"/>
      </w:rPr>
      <w:t>UNIVERSIDADE FEDERAL DE SÃO PAULO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6D05F5" wp14:editId="128A3DBB">
          <wp:simplePos x="0" y="0"/>
          <wp:positionH relativeFrom="column">
            <wp:posOffset>5335270</wp:posOffset>
          </wp:positionH>
          <wp:positionV relativeFrom="paragraph">
            <wp:posOffset>-46353</wp:posOffset>
          </wp:positionV>
          <wp:extent cx="1602740" cy="7175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740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6EEB79" wp14:editId="264C782B">
          <wp:simplePos x="0" y="0"/>
          <wp:positionH relativeFrom="column">
            <wp:posOffset>685800</wp:posOffset>
          </wp:positionH>
          <wp:positionV relativeFrom="paragraph">
            <wp:posOffset>12065</wp:posOffset>
          </wp:positionV>
          <wp:extent cx="1148080" cy="5791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080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D3EBF6" w14:textId="77777777" w:rsidR="0062595D" w:rsidRDefault="00304B14">
    <w:pPr>
      <w:pBdr>
        <w:top w:val="nil"/>
        <w:left w:val="nil"/>
        <w:bottom w:val="nil"/>
        <w:right w:val="nil"/>
        <w:between w:val="nil"/>
      </w:pBdr>
      <w:spacing w:before="120"/>
      <w:ind w:left="2160"/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b/>
        <w:color w:val="000000"/>
        <w:sz w:val="18"/>
        <w:szCs w:val="18"/>
      </w:rPr>
      <w:t xml:space="preserve">              ESCOLA DE FILOSOFIA, LETRAS E CIÊNCIAS HUMANAS</w:t>
    </w:r>
  </w:p>
  <w:p w14:paraId="52102AF6" w14:textId="77777777" w:rsidR="0062595D" w:rsidRDefault="00304B14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b/>
        <w:color w:val="000000"/>
        <w:sz w:val="18"/>
        <w:szCs w:val="18"/>
      </w:rPr>
      <w:t xml:space="preserve">                                                             EFLCH – Campus Guarulhos</w:t>
    </w:r>
  </w:p>
  <w:p w14:paraId="514CFD1A" w14:textId="77777777" w:rsidR="0062595D" w:rsidRDefault="00304B14">
    <w:pPr>
      <w:pBdr>
        <w:top w:val="nil"/>
        <w:left w:val="nil"/>
        <w:bottom w:val="nil"/>
        <w:right w:val="nil"/>
        <w:between w:val="nil"/>
      </w:pBdr>
      <w:spacing w:before="120"/>
      <w:ind w:left="2160"/>
      <w:rPr>
        <w:rFonts w:ascii="Arial" w:eastAsia="Arial" w:hAnsi="Arial" w:cs="Arial"/>
        <w:b/>
        <w:color w:val="000000"/>
      </w:rPr>
    </w:pPr>
    <w:r>
      <w:rPr>
        <w:rFonts w:ascii="Cambria" w:eastAsia="Cambria" w:hAnsi="Cambria" w:cs="Cambria"/>
        <w:b/>
        <w:color w:val="000000"/>
        <w:sz w:val="18"/>
        <w:szCs w:val="18"/>
      </w:rPr>
      <w:t xml:space="preserve">                             </w:t>
    </w:r>
  </w:p>
  <w:p w14:paraId="1196B134" w14:textId="77777777" w:rsidR="0062595D" w:rsidRDefault="00304B14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</w:rPr>
      <w:t>Plano de Ensino para as UCs realizadas por meio de Atividades Domiciliares Especiais (ADE)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719C2" w14:textId="77777777" w:rsidR="0062595D" w:rsidRDefault="0062595D">
    <w:pPr>
      <w:pBdr>
        <w:top w:val="nil"/>
        <w:left w:val="nil"/>
        <w:bottom w:val="nil"/>
        <w:right w:val="nil"/>
        <w:between w:val="nil"/>
      </w:pBdr>
      <w:spacing w:before="120" w:after="120"/>
      <w:rPr>
        <w:rFonts w:ascii="Cambria" w:eastAsia="Cambria" w:hAnsi="Cambria" w:cs="Cambria"/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CDB"/>
    <w:multiLevelType w:val="hybridMultilevel"/>
    <w:tmpl w:val="0204B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3C5"/>
    <w:multiLevelType w:val="multilevel"/>
    <w:tmpl w:val="09E87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1E1F03"/>
    <w:multiLevelType w:val="hybridMultilevel"/>
    <w:tmpl w:val="DAE2946A"/>
    <w:lvl w:ilvl="0" w:tplc="759409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1B04"/>
    <w:multiLevelType w:val="multilevel"/>
    <w:tmpl w:val="34DC22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DD84586"/>
    <w:multiLevelType w:val="multilevel"/>
    <w:tmpl w:val="ECC01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5D"/>
    <w:rsid w:val="00052177"/>
    <w:rsid w:val="000556DE"/>
    <w:rsid w:val="0006069D"/>
    <w:rsid w:val="000701AE"/>
    <w:rsid w:val="0009045D"/>
    <w:rsid w:val="0009161A"/>
    <w:rsid w:val="000D232B"/>
    <w:rsid w:val="000E4FCE"/>
    <w:rsid w:val="00100817"/>
    <w:rsid w:val="001426EC"/>
    <w:rsid w:val="001C7951"/>
    <w:rsid w:val="001D4255"/>
    <w:rsid w:val="00224E66"/>
    <w:rsid w:val="002351D8"/>
    <w:rsid w:val="00253566"/>
    <w:rsid w:val="002802F1"/>
    <w:rsid w:val="00286122"/>
    <w:rsid w:val="002A25F2"/>
    <w:rsid w:val="00302BE7"/>
    <w:rsid w:val="00304B14"/>
    <w:rsid w:val="00312DCA"/>
    <w:rsid w:val="0033157B"/>
    <w:rsid w:val="003400DE"/>
    <w:rsid w:val="00445F00"/>
    <w:rsid w:val="004611CE"/>
    <w:rsid w:val="00486896"/>
    <w:rsid w:val="005218D5"/>
    <w:rsid w:val="00544407"/>
    <w:rsid w:val="0055313F"/>
    <w:rsid w:val="00587F16"/>
    <w:rsid w:val="005904EB"/>
    <w:rsid w:val="005A53B7"/>
    <w:rsid w:val="005B139E"/>
    <w:rsid w:val="006028B5"/>
    <w:rsid w:val="0062595D"/>
    <w:rsid w:val="00651221"/>
    <w:rsid w:val="00680888"/>
    <w:rsid w:val="00694D04"/>
    <w:rsid w:val="006B3017"/>
    <w:rsid w:val="006F3BA8"/>
    <w:rsid w:val="00720C03"/>
    <w:rsid w:val="00730EC5"/>
    <w:rsid w:val="007B17D1"/>
    <w:rsid w:val="007C2022"/>
    <w:rsid w:val="007E4549"/>
    <w:rsid w:val="00806768"/>
    <w:rsid w:val="008661CC"/>
    <w:rsid w:val="009053A4"/>
    <w:rsid w:val="00920D5B"/>
    <w:rsid w:val="0098694B"/>
    <w:rsid w:val="00987287"/>
    <w:rsid w:val="00995D53"/>
    <w:rsid w:val="009A035B"/>
    <w:rsid w:val="009C2094"/>
    <w:rsid w:val="00A16077"/>
    <w:rsid w:val="00A2441D"/>
    <w:rsid w:val="00A359E9"/>
    <w:rsid w:val="00A55489"/>
    <w:rsid w:val="00A93148"/>
    <w:rsid w:val="00B77CEA"/>
    <w:rsid w:val="00B843F3"/>
    <w:rsid w:val="00BA0A11"/>
    <w:rsid w:val="00BB02BE"/>
    <w:rsid w:val="00BC1F8F"/>
    <w:rsid w:val="00BD1911"/>
    <w:rsid w:val="00BE5C9A"/>
    <w:rsid w:val="00C07B94"/>
    <w:rsid w:val="00C13081"/>
    <w:rsid w:val="00C21858"/>
    <w:rsid w:val="00C80588"/>
    <w:rsid w:val="00C87596"/>
    <w:rsid w:val="00CC5750"/>
    <w:rsid w:val="00CE7A24"/>
    <w:rsid w:val="00D17FB9"/>
    <w:rsid w:val="00DA0BD2"/>
    <w:rsid w:val="00DA766A"/>
    <w:rsid w:val="00DF26E7"/>
    <w:rsid w:val="00DF3400"/>
    <w:rsid w:val="00E408E7"/>
    <w:rsid w:val="00E44B23"/>
    <w:rsid w:val="00E634BD"/>
    <w:rsid w:val="00E74B94"/>
    <w:rsid w:val="00E82E5B"/>
    <w:rsid w:val="00EA4ED9"/>
    <w:rsid w:val="00EB23E9"/>
    <w:rsid w:val="00ED751E"/>
    <w:rsid w:val="00F41A2F"/>
    <w:rsid w:val="00F9663E"/>
    <w:rsid w:val="00FB5262"/>
    <w:rsid w:val="00FB75AC"/>
    <w:rsid w:val="00FD2C4B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982F"/>
  <w15:docId w15:val="{5E9093F9-6B23-4DEC-8BBC-D65A1FA0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612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D17F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noProof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D17FB9"/>
    <w:rPr>
      <w:noProof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E4FC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4FC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0E4FCE"/>
    <w:pPr>
      <w:widowControl w:val="0"/>
      <w:suppressAutoHyphens/>
      <w:spacing w:after="120"/>
    </w:pPr>
    <w:rPr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E4FC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xaraujo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2020-07-06T19:04:00Z</dcterms:created>
  <dcterms:modified xsi:type="dcterms:W3CDTF">2020-07-10T15:53:00Z</dcterms:modified>
</cp:coreProperties>
</file>