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3051AF" w:rsidRPr="00740343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Campus: </w:t>
            </w:r>
            <w:r w:rsidR="008C088F">
              <w:rPr>
                <w:rFonts w:ascii="Times New Roman" w:eastAsia="Times New Roman" w:hAnsi="Times New Roman" w:cs="Times New Roman"/>
                <w:lang w:eastAsia="pt-BR"/>
              </w:rPr>
              <w:t>Guarulhos</w:t>
            </w:r>
          </w:p>
        </w:tc>
      </w:tr>
      <w:tr w:rsidR="003051AF" w:rsidRPr="00740343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Curso (s): </w:t>
            </w:r>
            <w:r w:rsidR="006406A1">
              <w:rPr>
                <w:rFonts w:ascii="Times New Roman" w:eastAsia="Times New Roman" w:hAnsi="Times New Roman" w:cs="Times New Roman"/>
                <w:lang w:eastAsia="pt-BR"/>
              </w:rPr>
              <w:t>Filosofia</w:t>
            </w:r>
            <w:bookmarkStart w:id="0" w:name="_GoBack"/>
            <w:bookmarkEnd w:id="0"/>
          </w:p>
        </w:tc>
      </w:tr>
      <w:tr w:rsidR="003051AF" w:rsidRPr="00740343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B41045">
              <w:rPr>
                <w:rFonts w:ascii="Times New Roman" w:eastAsia="Times New Roman" w:hAnsi="Times New Roman" w:cs="Times New Roman"/>
                <w:lang w:eastAsia="pt-BR"/>
              </w:rPr>
              <w:t>Ética e Filosofia Política I</w:t>
            </w:r>
          </w:p>
        </w:tc>
      </w:tr>
      <w:tr w:rsidR="002E7F96" w:rsidRPr="00740343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Unidade Curricular (UC):</w:t>
            </w:r>
            <w:r w:rsidRPr="00740343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[Nome da UC em inglês]</w:t>
            </w:r>
          </w:p>
        </w:tc>
      </w:tr>
      <w:tr w:rsidR="002E7F96" w:rsidRPr="00740343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Pr="00740343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[Nome da UC em espanhol - opcional]</w:t>
            </w:r>
          </w:p>
        </w:tc>
      </w:tr>
      <w:tr w:rsidR="003051AF" w:rsidRPr="00740343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Código da UC: </w:t>
            </w:r>
            <w:r w:rsidR="008C088F">
              <w:rPr>
                <w:rFonts w:ascii="Times New Roman" w:eastAsia="Times New Roman" w:hAnsi="Times New Roman" w:cs="Times New Roman"/>
                <w:lang w:eastAsia="pt-BR"/>
              </w:rPr>
              <w:t>2692</w:t>
            </w:r>
          </w:p>
        </w:tc>
      </w:tr>
      <w:tr w:rsidR="003051AF" w:rsidRPr="00740343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 Responsável/Departamento: </w:t>
            </w:r>
            <w:r w:rsidR="008C088F">
              <w:rPr>
                <w:rFonts w:ascii="Times New Roman" w:eastAsia="Times New Roman" w:hAnsi="Times New Roman" w:cs="Times New Roman"/>
                <w:lang w:eastAsia="pt-BR"/>
              </w:rPr>
              <w:t>Sergio Xavier G. de Araujo. Departamento de Filosofia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8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  <w:r w:rsidR="008C088F">
              <w:rPr>
                <w:rFonts w:ascii="Times New Roman" w:eastAsia="Times New Roman" w:hAnsi="Times New Roman" w:cs="Times New Roman"/>
                <w:lang w:eastAsia="pt-BR"/>
              </w:rPr>
              <w:t>sxaraujo@gmail.com</w:t>
            </w:r>
          </w:p>
        </w:tc>
      </w:tr>
      <w:tr w:rsidR="003051AF" w:rsidRPr="00740343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4C2648" w:rsidRPr="00740343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Ano letivo: </w:t>
            </w:r>
            <w:r w:rsidR="008C088F">
              <w:rPr>
                <w:rFonts w:ascii="Times New Roman" w:eastAsia="Times New Roman" w:hAnsi="Times New Roman" w:cs="Times New Roman"/>
                <w:lang w:eastAsia="pt-BR"/>
              </w:rPr>
              <w:t>2022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  <w:r w:rsidR="00EB5F33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  <w:r w:rsidR="00EB5F33">
              <w:rPr>
                <w:rFonts w:ascii="Times New Roman" w:eastAsia="Times New Roman" w:hAnsi="Times New Roman" w:cs="Times New Roman"/>
                <w:lang w:eastAsia="pt-BR"/>
              </w:rPr>
              <w:t>Vespertino e Noturno</w:t>
            </w:r>
          </w:p>
        </w:tc>
      </w:tr>
      <w:tr w:rsidR="004C2648" w:rsidRPr="00740343" w:rsidTr="002E7F96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1AF" w:rsidRPr="00740343" w:rsidRDefault="003051AF" w:rsidP="002E7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Nome do Grupo/Módulo/Eixo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1AF" w:rsidRPr="00740343" w:rsidRDefault="003051AF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1AF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8C088F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Português</w:t>
            </w:r>
          </w:p>
          <w:p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English</w:t>
            </w:r>
          </w:p>
          <w:p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Español</w:t>
            </w:r>
          </w:p>
          <w:p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Français</w:t>
            </w:r>
          </w:p>
          <w:p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Libras</w:t>
            </w:r>
          </w:p>
          <w:p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Outros:</w:t>
            </w:r>
          </w:p>
          <w:p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</w:p>
          <w:p w:rsidR="002E7F96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C2648" w:rsidRPr="00740343" w:rsidTr="002E7F96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8C088F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Fixa</w:t>
            </w:r>
          </w:p>
          <w:p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 ) Eletiva</w:t>
            </w:r>
          </w:p>
          <w:p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 )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8C088F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>) Disciplina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>( ) Módulo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 xml:space="preserve">( ) Estágio </w:t>
            </w:r>
          </w:p>
          <w:p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)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8C088F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>) Semestral ( ) Anual</w:t>
            </w:r>
          </w:p>
          <w:p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Ambiente Virtual de Aprendizagem: ( ) Moodle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br/>
              <w:t>( ) Classroom</w:t>
            </w:r>
          </w:p>
          <w:p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) Outro </w:t>
            </w:r>
          </w:p>
          <w:p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) Não se aplica </w:t>
            </w:r>
          </w:p>
        </w:tc>
      </w:tr>
      <w:tr w:rsidR="003051AF" w:rsidRPr="00740343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Pré-Requisito (s) - Indicar Código e Nome da UC: </w:t>
            </w:r>
            <w:r w:rsidR="008C088F">
              <w:rPr>
                <w:rFonts w:ascii="Times New Roman" w:eastAsia="Times New Roman" w:hAnsi="Times New Roman" w:cs="Times New Roman"/>
                <w:lang w:eastAsia="pt-BR"/>
              </w:rPr>
              <w:t>Etica e Filosofia Política I - 2692</w:t>
            </w:r>
          </w:p>
        </w:tc>
      </w:tr>
      <w:tr w:rsidR="003051AF" w:rsidRPr="00740343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total (em horas): </w:t>
            </w:r>
            <w:r w:rsidR="00EB5F33">
              <w:rPr>
                <w:rFonts w:ascii="Times New Roman" w:eastAsia="Times New Roman" w:hAnsi="Times New Roman" w:cs="Times New Roman"/>
                <w:lang w:eastAsia="pt-BR"/>
              </w:rPr>
              <w:t>90</w:t>
            </w:r>
          </w:p>
        </w:tc>
      </w:tr>
      <w:tr w:rsidR="004C2648" w:rsidRPr="00740343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teórica (em horas): </w:t>
            </w:r>
            <w:r w:rsidR="00EB5F33">
              <w:rPr>
                <w:rFonts w:ascii="Times New Roman" w:eastAsia="Times New Roman" w:hAnsi="Times New Roman" w:cs="Times New Roman"/>
                <w:lang w:eastAsia="pt-BR"/>
              </w:rPr>
              <w:t>73</w:t>
            </w:r>
          </w:p>
          <w:p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6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Carga horária prática (em horas):</w:t>
            </w:r>
            <w:r w:rsidR="00EB5F33">
              <w:rPr>
                <w:rFonts w:ascii="Times New Roman" w:eastAsia="Times New Roman" w:hAnsi="Times New Roman" w:cs="Times New Roman"/>
                <w:lang w:eastAsia="pt-BR"/>
              </w:rPr>
              <w:t xml:space="preserve"> 17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5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de extensão (em horas): </w:t>
            </w:r>
          </w:p>
          <w:p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extensão, indicar código e nome do projeto ou programa vinculado na Pró-Reitoria de Extensão e Cultura (Proec): </w:t>
            </w:r>
          </w:p>
        </w:tc>
      </w:tr>
      <w:tr w:rsidR="003051AF" w:rsidRPr="00740343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8C088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  <w:r w:rsidR="00D2711F" w:rsidRPr="00D2711F">
              <w:rPr>
                <w:rFonts w:ascii="Times New Roman" w:eastAsia="Times New Roman" w:hAnsi="Times New Roman" w:cs="Times New Roman"/>
                <w:lang w:eastAsia="pt-BR"/>
              </w:rPr>
              <w:t>A unidade curricular propõe examinar conceitos referentes à articulação entre ética e política.</w:t>
            </w:r>
          </w:p>
        </w:tc>
      </w:tr>
      <w:tr w:rsidR="003051AF" w:rsidRPr="00740343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59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Conteúdo programático</w:t>
            </w:r>
            <w:r w:rsidR="00164C59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:rsidR="00D2711F" w:rsidRDefault="00D2711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O Curso propõe a leitura do segundo capítulo do livro III dos </w:t>
            </w:r>
            <w:r w:rsidRPr="005177CF">
              <w:rPr>
                <w:rFonts w:ascii="Times New Roman" w:eastAsia="Times New Roman" w:hAnsi="Times New Roman" w:cs="Times New Roman"/>
                <w:i/>
                <w:lang w:eastAsia="pt-BR"/>
              </w:rPr>
              <w:t>Ensaios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, “</w:t>
            </w:r>
            <w:r w:rsidRPr="005177CF">
              <w:rPr>
                <w:rFonts w:ascii="Times New Roman" w:eastAsia="Times New Roman" w:hAnsi="Times New Roman" w:cs="Times New Roman"/>
                <w:i/>
                <w:lang w:eastAsia="pt-BR"/>
              </w:rPr>
              <w:t>Do Arrependimento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”, com vistas a pensar a evolução e consolidação do projeto filosófico e literário do autoretrato na obra a partir da crítica montaigneana à idéia de arrependimento, conforme posta pela ideologia contrareformista.     </w:t>
            </w:r>
          </w:p>
          <w:p w:rsidR="00AD5F4C" w:rsidRPr="00740343" w:rsidRDefault="00164C59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O cerne fundamental do curso é o do estudo da noção de “forma mestra”</w:t>
            </w:r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– “</w:t>
            </w:r>
            <w:r w:rsidRPr="005177CF">
              <w:rPr>
                <w:rFonts w:ascii="Times New Roman" w:eastAsia="Times New Roman" w:hAnsi="Times New Roman" w:cs="Times New Roman"/>
                <w:i/>
                <w:lang w:eastAsia="pt-BR"/>
              </w:rPr>
              <w:t>forme maitresse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” – do “</w:t>
            </w:r>
            <w:r w:rsidRPr="008964B4">
              <w:rPr>
                <w:rFonts w:ascii="Times New Roman" w:eastAsia="Times New Roman" w:hAnsi="Times New Roman" w:cs="Times New Roman"/>
                <w:i/>
                <w:lang w:eastAsia="pt-BR"/>
              </w:rPr>
              <w:t>eu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” no capítulo “</w:t>
            </w:r>
            <w:r w:rsidRPr="005177CF">
              <w:rPr>
                <w:rFonts w:ascii="Times New Roman" w:eastAsia="Times New Roman" w:hAnsi="Times New Roman" w:cs="Times New Roman"/>
                <w:i/>
                <w:lang w:eastAsia="pt-BR"/>
              </w:rPr>
              <w:t>Do Arrependimento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”, a partir da recuperação de seu vínculo com a noção aristotélica da virtude como disposição de caráter – </w:t>
            </w:r>
            <w:r w:rsidRPr="00164C59">
              <w:rPr>
                <w:rFonts w:ascii="Times New Roman" w:eastAsia="Times New Roman" w:hAnsi="Times New Roman" w:cs="Times New Roman"/>
                <w:i/>
                <w:lang w:eastAsia="pt-BR"/>
              </w:rPr>
              <w:t>hexis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– adquirida pela exercitação bem como com o </w:t>
            </w:r>
            <w:r w:rsidRPr="005177CF">
              <w:rPr>
                <w:rFonts w:ascii="Times New Roman" w:eastAsia="Times New Roman" w:hAnsi="Times New Roman" w:cs="Times New Roman"/>
                <w:i/>
                <w:lang w:eastAsia="pt-BR"/>
              </w:rPr>
              <w:t xml:space="preserve">decoro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ciceroneano. </w:t>
            </w:r>
            <w:r w:rsidR="005177CF">
              <w:rPr>
                <w:rFonts w:ascii="Times New Roman" w:eastAsia="Times New Roman" w:hAnsi="Times New Roman" w:cs="Times New Roman"/>
                <w:lang w:eastAsia="pt-BR"/>
              </w:rPr>
              <w:t>Deste modo, a leitura do capítulo III.2</w:t>
            </w:r>
            <w:r w:rsidR="008964B4">
              <w:rPr>
                <w:rFonts w:ascii="Times New Roman" w:eastAsia="Times New Roman" w:hAnsi="Times New Roman" w:cs="Times New Roman"/>
                <w:lang w:eastAsia="pt-BR"/>
              </w:rPr>
              <w:t xml:space="preserve"> será feita à luz</w:t>
            </w:r>
            <w:r w:rsidR="005177CF">
              <w:rPr>
                <w:rFonts w:ascii="Times New Roman" w:eastAsia="Times New Roman" w:hAnsi="Times New Roman" w:cs="Times New Roman"/>
                <w:lang w:eastAsia="pt-BR"/>
              </w:rPr>
              <w:t xml:space="preserve"> de trechos selecionados da </w:t>
            </w:r>
            <w:r w:rsidR="005177CF" w:rsidRPr="005177CF">
              <w:rPr>
                <w:rFonts w:ascii="Times New Roman" w:eastAsia="Times New Roman" w:hAnsi="Times New Roman" w:cs="Times New Roman"/>
                <w:i/>
                <w:lang w:eastAsia="pt-BR"/>
              </w:rPr>
              <w:t>Etica a</w:t>
            </w:r>
            <w:r w:rsidR="005177C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5177CF" w:rsidRPr="005177CF">
              <w:rPr>
                <w:rFonts w:ascii="Times New Roman" w:eastAsia="Times New Roman" w:hAnsi="Times New Roman" w:cs="Times New Roman"/>
                <w:i/>
                <w:lang w:eastAsia="pt-BR"/>
              </w:rPr>
              <w:t>Nicômaco</w:t>
            </w:r>
            <w:r w:rsidR="005177CF">
              <w:rPr>
                <w:rFonts w:ascii="Times New Roman" w:eastAsia="Times New Roman" w:hAnsi="Times New Roman" w:cs="Times New Roman"/>
                <w:lang w:eastAsia="pt-BR"/>
              </w:rPr>
              <w:t xml:space="preserve"> e de </w:t>
            </w:r>
            <w:r w:rsidR="005177CF" w:rsidRPr="005177CF">
              <w:rPr>
                <w:rFonts w:ascii="Times New Roman" w:eastAsia="Times New Roman" w:hAnsi="Times New Roman" w:cs="Times New Roman"/>
                <w:i/>
                <w:lang w:eastAsia="pt-BR"/>
              </w:rPr>
              <w:t>Dos Deveres</w:t>
            </w:r>
            <w:r w:rsidR="005177CF">
              <w:rPr>
                <w:rFonts w:ascii="Times New Roman" w:eastAsia="Times New Roman" w:hAnsi="Times New Roman" w:cs="Times New Roman"/>
                <w:lang w:eastAsia="pt-BR"/>
              </w:rPr>
              <w:t xml:space="preserve"> de Cícero, distanciando a orientação pessoal do texto de Montaigne do ponto de vista moderno de uma instância natural da subjetivid</w:t>
            </w:r>
            <w:r w:rsidR="008964B4">
              <w:rPr>
                <w:rFonts w:ascii="Times New Roman" w:eastAsia="Times New Roman" w:hAnsi="Times New Roman" w:cs="Times New Roman"/>
                <w:lang w:eastAsia="pt-BR"/>
              </w:rPr>
              <w:t>ade a que se abandonaria, para reinseri-lo no</w:t>
            </w:r>
            <w:r w:rsidR="005177CF">
              <w:rPr>
                <w:rFonts w:ascii="Times New Roman" w:eastAsia="Times New Roman" w:hAnsi="Times New Roman" w:cs="Times New Roman"/>
                <w:lang w:eastAsia="pt-BR"/>
              </w:rPr>
              <w:t xml:space="preserve"> registro propriamente ético, da conformidade com a própria natureza enquanto ação refletida. </w:t>
            </w:r>
            <w:r w:rsidR="008964B4">
              <w:rPr>
                <w:rFonts w:ascii="Times New Roman" w:eastAsia="Times New Roman" w:hAnsi="Times New Roman" w:cs="Times New Roman"/>
                <w:lang w:eastAsia="pt-BR"/>
              </w:rPr>
              <w:t>A afirmação da</w:t>
            </w:r>
            <w:r w:rsidR="005177CF">
              <w:rPr>
                <w:rFonts w:ascii="Times New Roman" w:eastAsia="Times New Roman" w:hAnsi="Times New Roman" w:cs="Times New Roman"/>
                <w:lang w:eastAsia="pt-BR"/>
              </w:rPr>
              <w:t xml:space="preserve"> “</w:t>
            </w:r>
            <w:r w:rsidR="005177CF" w:rsidRPr="005177CF">
              <w:rPr>
                <w:rFonts w:ascii="Times New Roman" w:eastAsia="Times New Roman" w:hAnsi="Times New Roman" w:cs="Times New Roman"/>
                <w:i/>
                <w:lang w:eastAsia="pt-BR"/>
              </w:rPr>
              <w:t>forma mestra</w:t>
            </w:r>
            <w:r w:rsidR="005177CF">
              <w:rPr>
                <w:rFonts w:ascii="Times New Roman" w:eastAsia="Times New Roman" w:hAnsi="Times New Roman" w:cs="Times New Roman"/>
                <w:lang w:eastAsia="pt-BR"/>
              </w:rPr>
              <w:t>” do “</w:t>
            </w:r>
            <w:r w:rsidR="005177CF" w:rsidRPr="005177CF">
              <w:rPr>
                <w:rFonts w:ascii="Times New Roman" w:eastAsia="Times New Roman" w:hAnsi="Times New Roman" w:cs="Times New Roman"/>
                <w:i/>
                <w:lang w:eastAsia="pt-BR"/>
              </w:rPr>
              <w:t>eu</w:t>
            </w:r>
            <w:r w:rsidR="005177CF">
              <w:rPr>
                <w:rFonts w:ascii="Times New Roman" w:eastAsia="Times New Roman" w:hAnsi="Times New Roman" w:cs="Times New Roman"/>
                <w:lang w:eastAsia="pt-BR"/>
              </w:rPr>
              <w:t>” em consonância com as tradições da ética clássica, se dá no ensaio, a partir da crítica à noção de arrependimento posta p</w:t>
            </w:r>
            <w:r w:rsidR="008964B4">
              <w:rPr>
                <w:rFonts w:ascii="Times New Roman" w:eastAsia="Times New Roman" w:hAnsi="Times New Roman" w:cs="Times New Roman"/>
                <w:lang w:eastAsia="pt-BR"/>
              </w:rPr>
              <w:t>ela contra reforma, como</w:t>
            </w:r>
            <w:r w:rsidR="005177CF">
              <w:rPr>
                <w:rFonts w:ascii="Times New Roman" w:eastAsia="Times New Roman" w:hAnsi="Times New Roman" w:cs="Times New Roman"/>
                <w:lang w:eastAsia="pt-BR"/>
              </w:rPr>
              <w:t xml:space="preserve"> transformação interior radical a partir da intervenção da Graça divina</w:t>
            </w:r>
            <w:r w:rsidR="008964B4">
              <w:rPr>
                <w:rFonts w:ascii="Times New Roman" w:eastAsia="Times New Roman" w:hAnsi="Times New Roman" w:cs="Times New Roman"/>
                <w:lang w:eastAsia="pt-BR"/>
              </w:rPr>
              <w:t>, atestada pela externalidade</w:t>
            </w:r>
            <w:r w:rsidR="005177C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8964B4">
              <w:rPr>
                <w:rFonts w:ascii="Times New Roman" w:eastAsia="Times New Roman" w:hAnsi="Times New Roman" w:cs="Times New Roman"/>
                <w:lang w:eastAsia="pt-BR"/>
              </w:rPr>
              <w:t xml:space="preserve">dos ritos e sacramentos. Por isso, para uma leitura mais adequada do referido capítulo dos </w:t>
            </w:r>
            <w:r w:rsidR="008964B4" w:rsidRPr="008964B4">
              <w:rPr>
                <w:rFonts w:ascii="Times New Roman" w:eastAsia="Times New Roman" w:hAnsi="Times New Roman" w:cs="Times New Roman"/>
                <w:i/>
                <w:lang w:eastAsia="pt-BR"/>
              </w:rPr>
              <w:t>Ensaios</w:t>
            </w:r>
            <w:r w:rsidR="008964B4">
              <w:rPr>
                <w:rFonts w:ascii="Times New Roman" w:eastAsia="Times New Roman" w:hAnsi="Times New Roman" w:cs="Times New Roman"/>
                <w:lang w:eastAsia="pt-BR"/>
              </w:rPr>
              <w:t xml:space="preserve">, cumpre recuperar também o contexto geral das reformas religiosas do século XVI, bem como a leitura de documentos selecionados do Concilio Di Trento com que o texto de Montaigne dialoga. </w:t>
            </w:r>
          </w:p>
          <w:p w:rsidR="003051AF" w:rsidRPr="00740343" w:rsidRDefault="003051AF" w:rsidP="003051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 </w:t>
            </w:r>
          </w:p>
        </w:tc>
      </w:tr>
      <w:tr w:rsidR="003051AF" w:rsidRPr="00740343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8964B4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Objetivos:</w:t>
            </w:r>
            <w:r w:rsidRPr="00740343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 </w:t>
            </w:r>
          </w:p>
          <w:p w:rsidR="00F01D21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Gerais:</w:t>
            </w:r>
          </w:p>
          <w:p w:rsidR="008964B4" w:rsidRPr="00740343" w:rsidRDefault="008964B4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- Estudo </w:t>
            </w:r>
            <w:r w:rsidR="00C71073">
              <w:rPr>
                <w:rFonts w:ascii="Times New Roman" w:eastAsia="Times New Roman" w:hAnsi="Times New Roman" w:cs="Times New Roman"/>
                <w:lang w:eastAsia="pt-BR"/>
              </w:rPr>
              <w:t>crítico da forma pessoal</w:t>
            </w:r>
            <w:r w:rsidR="00654F8E">
              <w:rPr>
                <w:rFonts w:ascii="Times New Roman" w:eastAsia="Times New Roman" w:hAnsi="Times New Roman" w:cs="Times New Roman"/>
                <w:lang w:eastAsia="pt-BR"/>
              </w:rPr>
              <w:t xml:space="preserve"> dos </w:t>
            </w:r>
            <w:r w:rsidR="00654F8E" w:rsidRPr="00C71073">
              <w:rPr>
                <w:rFonts w:ascii="Times New Roman" w:eastAsia="Times New Roman" w:hAnsi="Times New Roman" w:cs="Times New Roman"/>
                <w:i/>
                <w:lang w:eastAsia="pt-BR"/>
              </w:rPr>
              <w:t>Ensaios</w:t>
            </w:r>
            <w:r w:rsidR="00654F8E">
              <w:rPr>
                <w:rFonts w:ascii="Times New Roman" w:eastAsia="Times New Roman" w:hAnsi="Times New Roman" w:cs="Times New Roman"/>
                <w:lang w:eastAsia="pt-BR"/>
              </w:rPr>
              <w:t>, norteado</w:t>
            </w:r>
            <w:r w:rsidR="00C71073">
              <w:rPr>
                <w:rFonts w:ascii="Times New Roman" w:eastAsia="Times New Roman" w:hAnsi="Times New Roman" w:cs="Times New Roman"/>
                <w:lang w:eastAsia="pt-BR"/>
              </w:rPr>
              <w:t xml:space="preserve"> por suas relações dialéticas com as tradições da ética e da retórica antigas bem como para os modos como aponta para a formação da idéia moderna de subjetividade.  </w:t>
            </w:r>
            <w:r w:rsidR="00654F8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:rsidR="00F01D21" w:rsidRPr="00740343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Específicos</w:t>
            </w:r>
            <w:r w:rsidR="00F01D21" w:rsidRPr="00740343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:rsidR="00C71073" w:rsidRDefault="00C71073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 Estu</w:t>
            </w:r>
            <w:r w:rsidR="00D926B0">
              <w:rPr>
                <w:rFonts w:ascii="Times New Roman" w:eastAsia="Times New Roman" w:hAnsi="Times New Roman" w:cs="Times New Roman"/>
                <w:lang w:eastAsia="pt-BR"/>
              </w:rPr>
              <w:t>do da ética aristotélica e mais propriamente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para a definição das virtudes morais.</w:t>
            </w:r>
          </w:p>
          <w:p w:rsidR="00C71073" w:rsidRDefault="00C71073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 Estudo da virtude ciceroneana do decoro e seu significado ético-político.</w:t>
            </w:r>
          </w:p>
          <w:p w:rsidR="00C71073" w:rsidRPr="00740343" w:rsidRDefault="00C71073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 Quadro geral do contexto europeu da segunda metade do século XVI, sob o impacto das reformas religiosas.</w:t>
            </w:r>
          </w:p>
          <w:p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3051AF" w:rsidRPr="00740343" w:rsidRDefault="003051AF" w:rsidP="003051AF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3051AF" w:rsidRPr="00740343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740343" w:rsidRDefault="003051AF" w:rsidP="003051AF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Metodologia de ensino:</w:t>
            </w:r>
            <w:r w:rsidR="00C71073">
              <w:rPr>
                <w:rFonts w:ascii="Times New Roman" w:eastAsia="Times New Roman" w:hAnsi="Times New Roman" w:cs="Times New Roman"/>
                <w:lang w:eastAsia="pt-BR"/>
              </w:rPr>
              <w:t xml:space="preserve"> aulas expositivas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</w:tr>
      <w:tr w:rsidR="003051AF" w:rsidRPr="00740343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Avaliação: </w:t>
            </w:r>
            <w:r w:rsidR="00C71073">
              <w:rPr>
                <w:rFonts w:ascii="Times New Roman" w:eastAsia="Times New Roman" w:hAnsi="Times New Roman" w:cs="Times New Roman"/>
                <w:lang w:eastAsia="pt-BR"/>
              </w:rPr>
              <w:t>trabalho final</w:t>
            </w:r>
          </w:p>
        </w:tc>
      </w:tr>
      <w:tr w:rsidR="003051AF" w:rsidRPr="00740343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D926B0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926B0">
              <w:rPr>
                <w:rFonts w:ascii="Times New Roman" w:eastAsia="Times New Roman" w:hAnsi="Times New Roman" w:cs="Times New Roman"/>
                <w:lang w:eastAsia="pt-BR"/>
              </w:rPr>
              <w:t xml:space="preserve">Bibliografia: </w:t>
            </w:r>
          </w:p>
          <w:p w:rsidR="003051AF" w:rsidRPr="00D926B0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</w:pPr>
            <w:r w:rsidRPr="00D926B0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[deve ser indicada a bibliografia necessária para a U</w:t>
            </w:r>
            <w:r w:rsidR="00F01D21" w:rsidRPr="00D926B0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C</w:t>
            </w:r>
            <w:r w:rsidRPr="00D926B0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] </w:t>
            </w:r>
          </w:p>
          <w:p w:rsidR="00C71073" w:rsidRPr="00D926B0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926B0">
              <w:rPr>
                <w:rFonts w:ascii="Times New Roman" w:eastAsia="Times New Roman" w:hAnsi="Times New Roman" w:cs="Times New Roman"/>
                <w:lang w:eastAsia="pt-BR"/>
              </w:rPr>
              <w:t xml:space="preserve">Básica: </w:t>
            </w:r>
          </w:p>
          <w:p w:rsidR="00C71073" w:rsidRPr="00D926B0" w:rsidRDefault="00C71073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926B0">
              <w:rPr>
                <w:rFonts w:ascii="Times New Roman" w:eastAsia="Times New Roman" w:hAnsi="Times New Roman" w:cs="Times New Roman"/>
                <w:lang w:eastAsia="pt-BR"/>
              </w:rPr>
              <w:t xml:space="preserve">ARISTÓTELES. </w:t>
            </w:r>
            <w:r w:rsidRPr="00D926B0">
              <w:rPr>
                <w:rFonts w:ascii="Times New Roman" w:eastAsia="Times New Roman" w:hAnsi="Times New Roman" w:cs="Times New Roman"/>
                <w:i/>
                <w:lang w:eastAsia="pt-BR"/>
              </w:rPr>
              <w:t>Ética a Nicômaco</w:t>
            </w:r>
            <w:r w:rsidRPr="00D926B0">
              <w:rPr>
                <w:rFonts w:ascii="Times New Roman" w:eastAsia="Times New Roman" w:hAnsi="Times New Roman" w:cs="Times New Roman"/>
                <w:lang w:eastAsia="pt-BR"/>
              </w:rPr>
              <w:t>. In: Os Pensadores. São Paulo: Ed. Abril, 1973.</w:t>
            </w:r>
          </w:p>
          <w:p w:rsidR="00C71073" w:rsidRPr="00D926B0" w:rsidRDefault="00C71073" w:rsidP="00C7107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26B0">
              <w:rPr>
                <w:rFonts w:ascii="Times New Roman" w:eastAsia="Calibri" w:hAnsi="Times New Roman" w:cs="Times New Roman"/>
                <w:smallCaps/>
              </w:rPr>
              <w:t xml:space="preserve">CÍCERO. </w:t>
            </w:r>
            <w:r w:rsidRPr="00D926B0">
              <w:rPr>
                <w:rFonts w:ascii="Times New Roman" w:eastAsia="Calibri" w:hAnsi="Times New Roman" w:cs="Times New Roman"/>
                <w:i/>
                <w:smallCaps/>
              </w:rPr>
              <w:t>Dos Deveres</w:t>
            </w:r>
            <w:r w:rsidRPr="00D926B0">
              <w:rPr>
                <w:rFonts w:ascii="Times New Roman" w:eastAsia="Calibri" w:hAnsi="Times New Roman" w:cs="Times New Roman"/>
                <w:smallCaps/>
              </w:rPr>
              <w:t>. São paulo: martins Fontes, 199</w:t>
            </w:r>
            <w:r w:rsidRPr="00D926B0">
              <w:rPr>
                <w:rFonts w:ascii="Times New Roman" w:hAnsi="Times New Roman" w:cs="Times New Roman"/>
              </w:rPr>
              <w:t>6.</w:t>
            </w:r>
          </w:p>
          <w:p w:rsidR="00C71073" w:rsidRPr="00D926B0" w:rsidRDefault="00C71073" w:rsidP="00C7107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26B0">
              <w:rPr>
                <w:rFonts w:ascii="Times New Roman" w:eastAsia="Calibri" w:hAnsi="Times New Roman" w:cs="Times New Roman"/>
                <w:smallCaps/>
              </w:rPr>
              <w:t xml:space="preserve"> </w:t>
            </w:r>
            <w:r w:rsidRPr="00D926B0">
              <w:rPr>
                <w:rFonts w:ascii="Times New Roman" w:eastAsia="Calibri" w:hAnsi="Times New Roman" w:cs="Times New Roman"/>
              </w:rPr>
              <w:t xml:space="preserve">MONTAIGNE. </w:t>
            </w:r>
            <w:r w:rsidRPr="00D926B0">
              <w:rPr>
                <w:rFonts w:ascii="Times New Roman" w:eastAsia="Calibri" w:hAnsi="Times New Roman" w:cs="Times New Roman"/>
                <w:i/>
              </w:rPr>
              <w:t>Ensaios</w:t>
            </w:r>
            <w:r w:rsidRPr="00D926B0">
              <w:rPr>
                <w:rFonts w:ascii="Times New Roman" w:eastAsia="Calibri" w:hAnsi="Times New Roman" w:cs="Times New Roman"/>
              </w:rPr>
              <w:t>. São Paulo: Martins Fontes, 2002.</w:t>
            </w:r>
          </w:p>
          <w:p w:rsidR="00C71073" w:rsidRPr="00D926B0" w:rsidRDefault="00C71073" w:rsidP="00C7107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26B0">
              <w:rPr>
                <w:rFonts w:ascii="Times New Roman" w:eastAsia="Calibri" w:hAnsi="Times New Roman" w:cs="Times New Roman"/>
              </w:rPr>
              <w:t xml:space="preserve">__________. </w:t>
            </w:r>
            <w:r w:rsidRPr="00D926B0">
              <w:rPr>
                <w:rFonts w:ascii="Times New Roman" w:eastAsia="Calibri" w:hAnsi="Times New Roman" w:cs="Times New Roman"/>
                <w:i/>
              </w:rPr>
              <w:t>Essais</w:t>
            </w:r>
            <w:r w:rsidRPr="00D926B0">
              <w:rPr>
                <w:rFonts w:ascii="Times New Roman" w:eastAsia="Calibri" w:hAnsi="Times New Roman" w:cs="Times New Roman"/>
              </w:rPr>
              <w:t>. Paris: Quadrige/Presses universitaires de France, 1988.</w:t>
            </w:r>
          </w:p>
          <w:p w:rsidR="00C71073" w:rsidRPr="00D926B0" w:rsidRDefault="00C71073" w:rsidP="00F84EBB">
            <w:pPr>
              <w:spacing w:line="36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D926B0">
              <w:rPr>
                <w:rFonts w:ascii="Times New Roman" w:eastAsia="Calibri" w:hAnsi="Times New Roman" w:cs="Times New Roman"/>
                <w:smallCaps/>
              </w:rPr>
              <w:lastRenderedPageBreak/>
              <w:t xml:space="preserve">SANTO AGOSTINHO. </w:t>
            </w:r>
            <w:r w:rsidRPr="00D926B0">
              <w:rPr>
                <w:rFonts w:ascii="Times New Roman" w:eastAsia="Calibri" w:hAnsi="Times New Roman" w:cs="Times New Roman"/>
                <w:i/>
                <w:smallCaps/>
              </w:rPr>
              <w:t>A Cidade de Deus</w:t>
            </w:r>
            <w:r w:rsidRPr="00D926B0">
              <w:rPr>
                <w:rFonts w:ascii="Times New Roman" w:eastAsia="Calibri" w:hAnsi="Times New Roman" w:cs="Times New Roman"/>
                <w:smallCaps/>
              </w:rPr>
              <w:t>. Petrópolis: Vozes, 2011.</w:t>
            </w:r>
          </w:p>
          <w:p w:rsidR="003051AF" w:rsidRPr="00D926B0" w:rsidRDefault="00C71073" w:rsidP="00C710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926B0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 </w:t>
            </w:r>
            <w:r w:rsidR="003051AF" w:rsidRPr="00D926B0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[</w:t>
            </w:r>
            <w:r w:rsidR="00F01D21" w:rsidRPr="00D926B0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I</w:t>
            </w:r>
            <w:r w:rsidR="003051AF" w:rsidRPr="00D926B0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gual a</w:t>
            </w:r>
            <w:r w:rsidR="00F01D21" w:rsidRPr="00D926B0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 que consta no </w:t>
            </w:r>
            <w:r w:rsidR="003051AF" w:rsidRPr="00D926B0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Projeto Político Pedagógico do Curso] </w:t>
            </w:r>
          </w:p>
          <w:p w:rsidR="003051AF" w:rsidRPr="00D926B0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D926B0">
              <w:rPr>
                <w:rFonts w:ascii="Times New Roman" w:eastAsia="Times New Roman" w:hAnsi="Times New Roman" w:cs="Times New Roman"/>
                <w:lang w:eastAsia="pt-BR"/>
              </w:rPr>
              <w:t xml:space="preserve">Complementar: </w:t>
            </w:r>
          </w:p>
          <w:p w:rsidR="00D926B0" w:rsidRPr="00D926B0" w:rsidRDefault="00D926B0" w:rsidP="00D926B0">
            <w:pPr>
              <w:tabs>
                <w:tab w:val="left" w:pos="781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26B0">
              <w:rPr>
                <w:rFonts w:ascii="Times New Roman" w:eastAsia="Calibri" w:hAnsi="Times New Roman" w:cs="Times New Roman"/>
                <w:lang w:val="en-US"/>
              </w:rPr>
              <w:t xml:space="preserve">AUERBACH, E. “L`humaine condition” In: </w:t>
            </w:r>
            <w:r w:rsidRPr="00D926B0">
              <w:rPr>
                <w:rFonts w:ascii="Times New Roman" w:eastAsia="Calibri" w:hAnsi="Times New Roman" w:cs="Times New Roman"/>
                <w:i/>
                <w:lang w:val="en-US"/>
              </w:rPr>
              <w:t>Mimesis</w:t>
            </w:r>
            <w:r w:rsidRPr="00D926B0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 w:rsidRPr="00D926B0">
              <w:rPr>
                <w:rFonts w:ascii="Times New Roman" w:eastAsia="Calibri" w:hAnsi="Times New Roman" w:cs="Times New Roman"/>
              </w:rPr>
              <w:t>São Paulo: Perspectiva, 1996.</w:t>
            </w:r>
          </w:p>
          <w:p w:rsidR="00D926B0" w:rsidRPr="00D926B0" w:rsidRDefault="00D926B0" w:rsidP="00D926B0">
            <w:pPr>
              <w:tabs>
                <w:tab w:val="left" w:pos="170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26B0">
              <w:rPr>
                <w:rFonts w:ascii="Times New Roman" w:eastAsia="Calibri" w:hAnsi="Times New Roman" w:cs="Times New Roman"/>
              </w:rPr>
              <w:t xml:space="preserve">BURCKHARDT, Jacob. </w:t>
            </w:r>
            <w:r w:rsidRPr="00D926B0">
              <w:rPr>
                <w:rFonts w:ascii="Times New Roman" w:eastAsia="Calibri" w:hAnsi="Times New Roman" w:cs="Times New Roman"/>
                <w:i/>
              </w:rPr>
              <w:t>A Cultura do Renascimento na Itália</w:t>
            </w:r>
            <w:r w:rsidRPr="00D926B0">
              <w:rPr>
                <w:rFonts w:ascii="Times New Roman" w:eastAsia="Calibri" w:hAnsi="Times New Roman" w:cs="Times New Roman"/>
              </w:rPr>
              <w:t>. São Paulo: Companhia das Letras, 1990.</w:t>
            </w:r>
          </w:p>
          <w:p w:rsidR="00D926B0" w:rsidRPr="00D926B0" w:rsidRDefault="00D926B0" w:rsidP="00D92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26B0">
              <w:rPr>
                <w:rFonts w:ascii="Times New Roman" w:hAnsi="Times New Roman" w:cs="Times New Roman"/>
                <w:shd w:val="clear" w:color="auto" w:fill="FFFFFF"/>
              </w:rPr>
              <w:t>CARDOSO, S. "Montaigne: uma ética para além do humanismo" In: O que nos faz pensar n. 27, Cadernos do Departamento de Filosofia da Puc-Rio, 2010, p. 257-278,   </w:t>
            </w:r>
          </w:p>
          <w:p w:rsidR="00D926B0" w:rsidRPr="00D926B0" w:rsidRDefault="00D926B0" w:rsidP="00D92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26B0">
              <w:rPr>
                <w:rFonts w:ascii="Times New Roman" w:hAnsi="Times New Roman" w:cs="Times New Roman"/>
                <w:b/>
              </w:rPr>
              <w:t>____________</w:t>
            </w:r>
            <w:r w:rsidRPr="00D926B0">
              <w:rPr>
                <w:rFonts w:ascii="Times New Roman" w:hAnsi="Times New Roman" w:cs="Times New Roman"/>
              </w:rPr>
              <w:t>, “O Homem, um Homem: do Humanismo renascentista a Michel de Montaigne” In: Perturbador mundo novo. História Psicanálise e sociedade contamporânea. São Paulo, escuta, sociedade brasileira de psicanálise, 1994.</w:t>
            </w:r>
          </w:p>
          <w:p w:rsidR="00D926B0" w:rsidRPr="00D926B0" w:rsidRDefault="00D926B0" w:rsidP="00D926B0">
            <w:pPr>
              <w:tabs>
                <w:tab w:val="left" w:pos="17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926B0">
              <w:rPr>
                <w:rFonts w:ascii="Times New Roman" w:hAnsi="Times New Roman" w:cs="Times New Roman"/>
              </w:rPr>
              <w:t xml:space="preserve">DELUMEAU, J. </w:t>
            </w:r>
            <w:r w:rsidRPr="00D926B0">
              <w:rPr>
                <w:rFonts w:ascii="Times New Roman" w:hAnsi="Times New Roman" w:cs="Times New Roman"/>
                <w:i/>
              </w:rPr>
              <w:t>Nascimento e Afirmação da Reforma</w:t>
            </w:r>
            <w:r w:rsidRPr="00D926B0">
              <w:rPr>
                <w:rFonts w:ascii="Times New Roman" w:hAnsi="Times New Roman" w:cs="Times New Roman"/>
              </w:rPr>
              <w:t>. São Paulo. Pioneira, 1989.</w:t>
            </w:r>
          </w:p>
          <w:p w:rsidR="00D926B0" w:rsidRPr="00D926B0" w:rsidRDefault="00D926B0" w:rsidP="00D926B0">
            <w:pPr>
              <w:tabs>
                <w:tab w:val="left" w:pos="17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926B0">
              <w:rPr>
                <w:rFonts w:ascii="Times New Roman" w:hAnsi="Times New Roman" w:cs="Times New Roman"/>
              </w:rPr>
              <w:t xml:space="preserve">FEBVRE, Lucien. </w:t>
            </w:r>
            <w:r w:rsidRPr="00D926B0">
              <w:rPr>
                <w:rFonts w:ascii="Times New Roman" w:hAnsi="Times New Roman" w:cs="Times New Roman"/>
                <w:i/>
              </w:rPr>
              <w:t>O Problema da Incredulidade no século XVI</w:t>
            </w:r>
            <w:r w:rsidRPr="00D926B0">
              <w:rPr>
                <w:rFonts w:ascii="Times New Roman" w:hAnsi="Times New Roman" w:cs="Times New Roman"/>
              </w:rPr>
              <w:t>. São Paulo: Companhia das letras, 2006.</w:t>
            </w:r>
          </w:p>
          <w:p w:rsidR="00D926B0" w:rsidRPr="00D926B0" w:rsidRDefault="00D926B0" w:rsidP="00D926B0">
            <w:pPr>
              <w:tabs>
                <w:tab w:val="left" w:pos="17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926B0">
              <w:rPr>
                <w:rFonts w:ascii="Times New Roman" w:eastAsia="Calibri" w:hAnsi="Times New Roman" w:cs="Times New Roman"/>
              </w:rPr>
              <w:t>MERLEAU PONTY, M. “Descoberta da Subjetividade”; “Leitura de Montaigne” In: Signos, São Paulo: Martis Fontes, 1991.</w:t>
            </w:r>
          </w:p>
          <w:p w:rsidR="00D926B0" w:rsidRPr="00D926B0" w:rsidRDefault="00D926B0" w:rsidP="00D926B0">
            <w:pPr>
              <w:tabs>
                <w:tab w:val="left" w:pos="170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26B0">
              <w:rPr>
                <w:rFonts w:ascii="Times New Roman" w:hAnsi="Times New Roman" w:cs="Times New Roman"/>
              </w:rPr>
              <w:t>SKINNER, Quentin. As Fundações do Pensamento Político Moderno. São Paulo, Companhia das Letras, 1996.</w:t>
            </w:r>
          </w:p>
          <w:p w:rsidR="00D926B0" w:rsidRPr="00D926B0" w:rsidRDefault="00D926B0" w:rsidP="00D926B0">
            <w:pPr>
              <w:spacing w:line="36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D926B0">
              <w:rPr>
                <w:rFonts w:ascii="Times New Roman" w:eastAsia="Calibri" w:hAnsi="Times New Roman" w:cs="Times New Roman"/>
              </w:rPr>
              <w:t xml:space="preserve">STAROBINSKI, Jean. </w:t>
            </w:r>
            <w:r w:rsidRPr="00D926B0">
              <w:rPr>
                <w:rFonts w:ascii="Times New Roman" w:eastAsia="Calibri" w:hAnsi="Times New Roman" w:cs="Times New Roman"/>
                <w:i/>
              </w:rPr>
              <w:t>Montaigne em Movimento</w:t>
            </w:r>
            <w:r w:rsidRPr="00D926B0">
              <w:rPr>
                <w:rFonts w:ascii="Times New Roman" w:eastAsia="Calibri" w:hAnsi="Times New Roman" w:cs="Times New Roman"/>
              </w:rPr>
              <w:t xml:space="preserve">. São Paulo: Companhia das Letras, 1993. </w:t>
            </w:r>
          </w:p>
          <w:p w:rsidR="00D926B0" w:rsidRPr="00D926B0" w:rsidRDefault="00D926B0" w:rsidP="00D926B0">
            <w:pPr>
              <w:tabs>
                <w:tab w:val="left" w:pos="794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26B0">
              <w:rPr>
                <w:rFonts w:ascii="Times New Roman" w:eastAsia="Calibri" w:hAnsi="Times New Roman" w:cs="Times New Roman"/>
              </w:rPr>
              <w:t xml:space="preserve">TOURNON, A. </w:t>
            </w:r>
            <w:r w:rsidRPr="00D926B0">
              <w:rPr>
                <w:rFonts w:ascii="Times New Roman" w:eastAsia="Calibri" w:hAnsi="Times New Roman" w:cs="Times New Roman"/>
                <w:i/>
              </w:rPr>
              <w:t>Montaigne.</w:t>
            </w:r>
            <w:r w:rsidRPr="00D926B0">
              <w:rPr>
                <w:rFonts w:ascii="Times New Roman" w:eastAsia="Calibri" w:hAnsi="Times New Roman" w:cs="Times New Roman"/>
              </w:rPr>
              <w:t xml:space="preserve"> São Paulo. Presença, 2004.</w:t>
            </w:r>
          </w:p>
          <w:p w:rsidR="00D926B0" w:rsidRPr="00D926B0" w:rsidRDefault="00D926B0" w:rsidP="00D926B0">
            <w:pPr>
              <w:spacing w:line="36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D926B0">
              <w:rPr>
                <w:rFonts w:ascii="Times New Roman" w:eastAsia="Calibri" w:hAnsi="Times New Roman" w:cs="Times New Roman"/>
              </w:rPr>
              <w:t xml:space="preserve">VILLEY, Pierre. “Vida e Obra de Montaigne”. In: </w:t>
            </w:r>
            <w:r w:rsidRPr="00D926B0">
              <w:rPr>
                <w:rFonts w:ascii="Times New Roman" w:eastAsia="Calibri" w:hAnsi="Times New Roman" w:cs="Times New Roman"/>
                <w:i/>
              </w:rPr>
              <w:t>Ensaios</w:t>
            </w:r>
            <w:r w:rsidRPr="00D926B0">
              <w:rPr>
                <w:rFonts w:ascii="Times New Roman" w:eastAsia="Calibri" w:hAnsi="Times New Roman" w:cs="Times New Roman"/>
              </w:rPr>
              <w:t>, V. I. São Paulo, Martins Fontes, 2001.</w:t>
            </w:r>
          </w:p>
          <w:p w:rsidR="00F01D21" w:rsidRPr="00740343" w:rsidRDefault="00F01D21" w:rsidP="00D926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Cronograma (opcional): </w:t>
            </w:r>
          </w:p>
          <w:p w:rsidR="00F01D21" w:rsidRPr="00740343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761DFD" w:rsidRPr="003051AF" w:rsidRDefault="00B0092B" w:rsidP="00D926B0">
      <w:pPr>
        <w:jc w:val="right"/>
      </w:pPr>
    </w:p>
    <w:sectPr w:rsidR="00761DFD" w:rsidRPr="003051AF" w:rsidSect="00B24C74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092B" w:rsidRDefault="00B0092B" w:rsidP="00C6710B">
      <w:r>
        <w:separator/>
      </w:r>
    </w:p>
  </w:endnote>
  <w:endnote w:type="continuationSeparator" w:id="0">
    <w:p w:rsidR="00B0092B" w:rsidRDefault="00B0092B" w:rsidP="00C6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092B" w:rsidRDefault="00B0092B" w:rsidP="00C6710B">
      <w:r>
        <w:separator/>
      </w:r>
    </w:p>
  </w:footnote>
  <w:footnote w:type="continuationSeparator" w:id="0">
    <w:p w:rsidR="00B0092B" w:rsidRDefault="00B0092B" w:rsidP="00C6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10B" w:rsidRPr="00C6710B" w:rsidRDefault="001513E7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710B"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710B" w:rsidRPr="00C6710B">
      <w:rPr>
        <w:rFonts w:ascii="Times New Roman" w:hAnsi="Times New Roman" w:cs="Times New Roman"/>
      </w:rPr>
      <w:t>Universidade Federal de São Paulo</w:t>
    </w:r>
  </w:p>
  <w:p w:rsidR="00C6710B" w:rsidRPr="00C6710B" w:rsidRDefault="00C6710B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  <w:r w:rsidR="0024465A"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"https://www.unifesp.br/campus/gua/images/imagens/logo/logoeflch_transparente.png" \* MERGEFORMATINET </w:instrText>
    </w:r>
    <w:r w:rsidR="0024465A"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:rsidR="00C6710B" w:rsidRPr="00C6710B" w:rsidRDefault="0024465A" w:rsidP="00C6710B">
    <w:pPr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="00C6710B"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"https://www.unifesp.br/reitoria/dci/images/docs/manual_da_marca/Unifesp_completa_policromia_RGB.png"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  <w:p w:rsidR="00C6710B" w:rsidRP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1AF"/>
    <w:rsid w:val="001513E7"/>
    <w:rsid w:val="00164C59"/>
    <w:rsid w:val="00197050"/>
    <w:rsid w:val="0024465A"/>
    <w:rsid w:val="002E7F96"/>
    <w:rsid w:val="003051AF"/>
    <w:rsid w:val="003B09FC"/>
    <w:rsid w:val="004C2648"/>
    <w:rsid w:val="005177CF"/>
    <w:rsid w:val="005360EF"/>
    <w:rsid w:val="006406A1"/>
    <w:rsid w:val="00654F8E"/>
    <w:rsid w:val="00740343"/>
    <w:rsid w:val="007B4955"/>
    <w:rsid w:val="007F2200"/>
    <w:rsid w:val="008765C8"/>
    <w:rsid w:val="008964B4"/>
    <w:rsid w:val="008C088F"/>
    <w:rsid w:val="00937FAB"/>
    <w:rsid w:val="00AD5F4C"/>
    <w:rsid w:val="00B0092B"/>
    <w:rsid w:val="00B24C74"/>
    <w:rsid w:val="00B41045"/>
    <w:rsid w:val="00C6710B"/>
    <w:rsid w:val="00C71073"/>
    <w:rsid w:val="00D2711F"/>
    <w:rsid w:val="00D926B0"/>
    <w:rsid w:val="00DA0F19"/>
    <w:rsid w:val="00DD6E38"/>
    <w:rsid w:val="00EB5F33"/>
    <w:rsid w:val="00F01D21"/>
    <w:rsid w:val="00F84EBB"/>
    <w:rsid w:val="00FB4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59E4EE"/>
  <w15:docId w15:val="{CC654BEB-31A4-0843-BB18-8E324508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65A"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character" w:customStyle="1" w:styleId="Ttulo1Char">
    <w:name w:val="Título 1 Char"/>
    <w:basedOn w:val="Fontepargpadro"/>
    <w:link w:val="Ttulo1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10B"/>
  </w:style>
  <w:style w:type="paragraph" w:styleId="Textodebalo">
    <w:name w:val="Balloon Text"/>
    <w:basedOn w:val="Normal"/>
    <w:link w:val="TextodebaloChar"/>
    <w:uiPriority w:val="99"/>
    <w:semiHidden/>
    <w:unhideWhenUsed/>
    <w:rsid w:val="00DD6E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5A16EDEB-A91D-F54E-8D89-A1382146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828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Anônimo</dc:creator>
  <cp:lastModifiedBy>Lívia Almeida</cp:lastModifiedBy>
  <cp:revision>6</cp:revision>
  <dcterms:created xsi:type="dcterms:W3CDTF">2022-06-18T18:13:00Z</dcterms:created>
  <dcterms:modified xsi:type="dcterms:W3CDTF">2022-06-20T13:49:00Z</dcterms:modified>
</cp:coreProperties>
</file>