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790E89B" w14:textId="0BCF536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9D185D6" w14:textId="6093139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19399A2" w14:textId="3A004ED0" w:rsidR="003051AF" w:rsidRPr="00740343" w:rsidRDefault="42460686" w:rsidP="42460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Unidade Curricular (UC): Temas Contemporâneos de Filosofia II</w:t>
            </w:r>
          </w:p>
        </w:tc>
      </w:tr>
      <w:tr w:rsidR="002E7F96" w:rsidRPr="00740343" w14:paraId="6A18A429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7FE03" w14:textId="76276D0E" w:rsidR="002E7F96" w:rsidRPr="00740343" w:rsidRDefault="42460686" w:rsidP="42460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Unidade Curricular (UC): Contemporary Themes in Philosophy II</w:t>
            </w:r>
            <w:bookmarkStart w:id="0" w:name="_GoBack"/>
            <w:bookmarkEnd w:id="0"/>
          </w:p>
        </w:tc>
      </w:tr>
      <w:tr w:rsidR="002E7F96" w:rsidRPr="00740343" w14:paraId="542C18E2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A9540F" w14:textId="079BCCA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EE5CA2" w:rsidRPr="00EE5CA2">
              <w:rPr>
                <w:rFonts w:ascii="Times New Roman" w:eastAsia="Times New Roman" w:hAnsi="Times New Roman" w:cs="Times New Roman"/>
                <w:lang w:eastAsia="pt-BR"/>
              </w:rPr>
              <w:t>8555</w:t>
            </w:r>
          </w:p>
        </w:tc>
      </w:tr>
      <w:tr w:rsidR="003051AF" w:rsidRPr="00740343" w14:paraId="575F1C66" w14:textId="77777777" w:rsidTr="269A4457">
        <w:tc>
          <w:tcPr>
            <w:tcW w:w="64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6B6F7C3" w14:textId="43B36D1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Rodnei Nascimento/Filosofia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BF31451" w14:textId="6E1D6EDD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5772A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 w14:paraId="1A687E3F" w14:textId="77777777" w:rsidTr="269A4457">
        <w:tc>
          <w:tcPr>
            <w:tcW w:w="64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269A4457">
        <w:tc>
          <w:tcPr>
            <w:tcW w:w="3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5BFE98A" w14:textId="0B8FE6D5" w:rsidR="003051AF" w:rsidRPr="00740343" w:rsidRDefault="31204927" w:rsidP="31204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31204927"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E6F24E2" w14:textId="21B6D2C9" w:rsidR="003051AF" w:rsidRPr="00740343" w:rsidRDefault="42460686" w:rsidP="42460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Termo: 2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8E6AC19" w14:textId="30A534A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269A4457">
        <w:trPr>
          <w:trHeight w:val="688"/>
        </w:trPr>
        <w:tc>
          <w:tcPr>
            <w:tcW w:w="3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58B02C93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EE5CA2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269A4457">
        <w:trPr>
          <w:trHeight w:val="1361"/>
        </w:trPr>
        <w:tc>
          <w:tcPr>
            <w:tcW w:w="3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32CD352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7C3B4B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19B3F2A4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7C3B4B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27704F2D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7C3B4B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1A9A43C5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7C3B4B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371DCE9" w14:textId="41175FA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90 horas</w:t>
            </w:r>
          </w:p>
        </w:tc>
      </w:tr>
      <w:tr w:rsidR="004C2648" w:rsidRPr="00740343" w14:paraId="4EB9E4A3" w14:textId="77777777" w:rsidTr="269A4457">
        <w:tc>
          <w:tcPr>
            <w:tcW w:w="3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246573" w14:textId="52594B2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2970867" w14:textId="1ADCCCB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5772A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54FB0664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5772A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152BE4D" w14:textId="77777777" w:rsidR="00425554" w:rsidRDefault="003051AF" w:rsidP="00425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Ementa:</w:t>
            </w:r>
          </w:p>
          <w:p w14:paraId="56510BFA" w14:textId="5041A0FF" w:rsidR="003051AF" w:rsidRPr="00425554" w:rsidRDefault="003051AF" w:rsidP="00425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Introdução à discussão de temas centrais e candentes da vida e da história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do pensamento no século XX e XXI segundo uma abordagem interdisciplinar,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por meio da qual a filosofia propõe suas questões e constitui seus problemas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no seu entrelaçamento com as demais áreas do conhecimento, mas também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histórica, na medida em que procurará instaurar elos desses temas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contemporâneos com os temas clássicos da história da filosofia.</w:t>
            </w:r>
          </w:p>
        </w:tc>
      </w:tr>
      <w:tr w:rsidR="003051AF" w:rsidRPr="00740343" w14:paraId="07BE2052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33F2739B" w14:textId="109AF94A" w:rsidR="00A30836" w:rsidRDefault="269A4457" w:rsidP="00A30836">
            <w:pPr>
              <w:rPr>
                <w:rFonts w:ascii="Times New Roman" w:hAnsi="Times New Roman" w:cs="Times New Roman"/>
              </w:rPr>
            </w:pPr>
            <w:r w:rsidRPr="269A4457">
              <w:rPr>
                <w:rFonts w:ascii="Times New Roman" w:hAnsi="Times New Roman" w:cs="Times New Roman"/>
              </w:rPr>
              <w:t>A herança de Marx: revolução como autoemancipação do proletariado.</w:t>
            </w:r>
          </w:p>
          <w:p w14:paraId="20F151BA" w14:textId="682708CC" w:rsidR="00A30836" w:rsidRDefault="31204927" w:rsidP="00A30836">
            <w:pPr>
              <w:rPr>
                <w:rFonts w:ascii="Times New Roman" w:hAnsi="Times New Roman" w:cs="Times New Roman"/>
              </w:rPr>
            </w:pPr>
            <w:r w:rsidRPr="31204927">
              <w:rPr>
                <w:rFonts w:ascii="Times New Roman" w:hAnsi="Times New Roman" w:cs="Times New Roman"/>
              </w:rPr>
              <w:lastRenderedPageBreak/>
              <w:t>Dardot e Laval: do comunismo ao comum</w:t>
            </w:r>
          </w:p>
          <w:p w14:paraId="7BB98706" w14:textId="76D13E64" w:rsidR="00A30836" w:rsidRDefault="269A4457" w:rsidP="00A30836">
            <w:pPr>
              <w:rPr>
                <w:rFonts w:ascii="Times New Roman" w:hAnsi="Times New Roman" w:cs="Times New Roman"/>
              </w:rPr>
            </w:pPr>
            <w:r w:rsidRPr="269A4457">
              <w:rPr>
                <w:rFonts w:ascii="Times New Roman" w:hAnsi="Times New Roman" w:cs="Times New Roman"/>
              </w:rPr>
              <w:t>A multidão, o comum e as redes (virtuais e reais): a perspectiva de Antonio Negri.</w:t>
            </w:r>
          </w:p>
          <w:p w14:paraId="6A2FEE9A" w14:textId="7BC7DD04" w:rsidR="00A30836" w:rsidRPr="00A04FC0" w:rsidRDefault="31204927" w:rsidP="00A30836">
            <w:pPr>
              <w:rPr>
                <w:rFonts w:ascii="Times New Roman" w:hAnsi="Times New Roman" w:cs="Times New Roman"/>
              </w:rPr>
            </w:pPr>
            <w:r w:rsidRPr="31204927">
              <w:rPr>
                <w:rFonts w:ascii="Times New Roman" w:hAnsi="Times New Roman" w:cs="Times New Roman"/>
              </w:rPr>
              <w:t>Nancy Fraser e a busca de um novo conceito de capitalismo: produção, reprodução, gênero e natureza.</w:t>
            </w:r>
          </w:p>
          <w:p w14:paraId="1164AF10" w14:textId="164B24AA" w:rsidR="31204927" w:rsidRDefault="269A4457" w:rsidP="31204927">
            <w:pPr>
              <w:rPr>
                <w:rFonts w:ascii="Times New Roman" w:hAnsi="Times New Roman" w:cs="Times New Roman"/>
              </w:rPr>
            </w:pPr>
            <w:r w:rsidRPr="269A4457">
              <w:rPr>
                <w:rFonts w:ascii="Times New Roman" w:hAnsi="Times New Roman" w:cs="Times New Roman"/>
              </w:rPr>
              <w:t xml:space="preserve">Silvia Federici e a releitura feminista das categorias marxistas: trabalho (reprodutivo), classe, acumulação primitiva e a política feminista. </w:t>
            </w:r>
          </w:p>
          <w:p w14:paraId="04DF5B4C" w14:textId="1BD42093" w:rsidR="003051AF" w:rsidRPr="00A30836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E921F85" w14:textId="77777777" w:rsidTr="269A4457">
        <w:tc>
          <w:tcPr>
            <w:tcW w:w="101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D750973" w14:textId="77777777" w:rsidR="00B513E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Objetivos:</w:t>
            </w:r>
          </w:p>
          <w:p w14:paraId="797AD890" w14:textId="42E880AE" w:rsidR="003051AF" w:rsidRPr="00B513E0" w:rsidRDefault="00B513E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A UC oferece ao aluno uma introdução às questões filosóficas legadas pela tradição que hoje ganham destaque em um cenário histórico sempre em transformação. Nesse sentido, a UC </w:t>
            </w:r>
            <w:r w:rsidR="00226E8B"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contribui para a consciência do aluno em relação à </w:t>
            </w:r>
            <w:r w:rsidR="00A525CB"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constante </w:t>
            </w:r>
            <w:r w:rsidR="00226E8B" w:rsidRPr="00A525CB">
              <w:rPr>
                <w:rFonts w:ascii="Times New Roman" w:eastAsia="Times New Roman" w:hAnsi="Times New Roman" w:cs="Times New Roman"/>
                <w:lang w:eastAsia="pt-BR"/>
              </w:rPr>
              <w:t>pertinência do pensamento filosófico</w:t>
            </w:r>
            <w:r w:rsidR="00A525CB" w:rsidRPr="00A525CB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="00226E8B"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que atravessa </w:t>
            </w:r>
            <w:r w:rsidR="00A525CB" w:rsidRPr="00A525CB">
              <w:rPr>
                <w:rFonts w:ascii="Times New Roman" w:eastAsia="Times New Roman" w:hAnsi="Times New Roman" w:cs="Times New Roman"/>
                <w:lang w:eastAsia="pt-BR"/>
              </w:rPr>
              <w:t>todas as épocas históricas, para além do momento e do lugar de sua criação.</w:t>
            </w:r>
          </w:p>
          <w:p w14:paraId="39A257FF" w14:textId="77777777" w:rsidR="00F01D21" w:rsidRPr="00740343" w:rsidRDefault="4246068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6B197A90" w:rsidR="00F01D21" w:rsidRPr="00740343" w:rsidRDefault="42460686" w:rsidP="42460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 objetivo principal do curso é examinar o que veio a ser uma política emancipatória após o fim do ciclo revolucionário do século XX. A crise do marxismo como corrente dominante de esquerda até tempos recentes requer o primeiro esforço de análise. Novos diagnósticos de época se abrem a partir das transformações materiais e subjetivas do capitalismo contemporâneo. A biopolítica, a crise do valor, o estado de emergência permanente e a crise de legitimação são alguns dos diagnósticos que sugerem novas possibilidade de ação ou não. Serão investigadas, por fim, as teorias que postulam a emergência de uma sociedade do comum como horizonte que unifica as novas políticas revolucionárias</w:t>
            </w:r>
            <w:r w:rsidRPr="4246068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</w:t>
            </w:r>
          </w:p>
          <w:p w14:paraId="78D30A6A" w14:textId="34802A80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53437952" w14:textId="2BBBF597" w:rsidR="003051AF" w:rsidRPr="00740343" w:rsidRDefault="42460686" w:rsidP="31204927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Compreender as novas articulações entre o pensamento crítico herdeiro de Marx e as questões da reprodução social, da crise do capitalismo e das novas estratégias de luta política, com ênfase nas contribuições de Antonio Negri, Nancy Fraser e Silvia Federici.</w:t>
            </w: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269A4457">
        <w:tc>
          <w:tcPr>
            <w:tcW w:w="10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925CE3A" w14:textId="2D21CF13" w:rsidR="003051AF" w:rsidRPr="00740343" w:rsidRDefault="31204927" w:rsidP="31204927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31204927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aulas expositivas, leitura, debates e seminários. </w:t>
            </w:r>
          </w:p>
        </w:tc>
      </w:tr>
      <w:tr w:rsidR="003051AF" w:rsidRPr="00740343" w14:paraId="57E10972" w14:textId="77777777" w:rsidTr="269A4457">
        <w:tc>
          <w:tcPr>
            <w:tcW w:w="10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F09715" w14:textId="021D8EF0" w:rsidR="003051AF" w:rsidRPr="00740343" w:rsidRDefault="31204927" w:rsidP="31204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31204927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seminários, provas e frequência. Avaliação contínua. </w:t>
            </w:r>
          </w:p>
        </w:tc>
      </w:tr>
      <w:tr w:rsidR="003051AF" w:rsidRPr="00740343" w14:paraId="419CD715" w14:textId="77777777" w:rsidTr="269A4457">
        <w:tc>
          <w:tcPr>
            <w:tcW w:w="10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2A322DF5" w14:textId="3A25109D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ANDERSON. Perry. Considerações sobre o marxismo ocidental/ Nas trilhas do materialismo histórico: Nas trilhas do materialismo histórico. SP: Boitempo</w:t>
            </w:r>
            <w:r w:rsidR="00782D01" w:rsidRPr="00A525CB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2019</w:t>
            </w:r>
            <w:r w:rsidR="00782D01" w:rsidRPr="00A525CB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078D6026" w14:textId="3736D444" w:rsidR="001B2A2E" w:rsidRPr="00A525CB" w:rsidRDefault="269A4457" w:rsidP="269A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269A4457">
              <w:rPr>
                <w:rFonts w:ascii="Times New Roman" w:eastAsia="Times New Roman" w:hAnsi="Times New Roman" w:cs="Times New Roman"/>
                <w:lang w:eastAsia="pt-BR"/>
              </w:rPr>
              <w:t xml:space="preserve"> ALTAMIRA, Cesar. Os marxismos do novo século. RJ: Civilização Brasileira, 2008. </w:t>
            </w:r>
          </w:p>
          <w:p w14:paraId="55AE49A0" w14:textId="0B2258EC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DARDOT, Pierre &amp; LAVAL, Christian. Comum: ensaio sobre a revolução no século XXI. SP: Boitempo, 2017. </w:t>
            </w:r>
          </w:p>
          <w:p w14:paraId="3FB9FF8B" w14:textId="7173177B" w:rsidR="00782D01" w:rsidRPr="00A525CB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 xml:space="preserve"> FEDERICI, Silvia. O calibã e a bruxa - mulheres, corpo e acumulação primitiva. SP: Elefante. 2017.</w:t>
            </w:r>
          </w:p>
          <w:p w14:paraId="0681445E" w14:textId="599660E8" w:rsidR="42460686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_______________. Reencantando o mundo. Feminismo e a política dos comuns. SP. Elefante. 2022.</w:t>
            </w:r>
          </w:p>
          <w:p w14:paraId="0C044D2B" w14:textId="6CAFAC56" w:rsidR="42460686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_______________.  O ponto zero da revolução: trabalho doméstico, reprodução e luta feminista. SP: 2019.</w:t>
            </w:r>
          </w:p>
          <w:p w14:paraId="526C2917" w14:textId="66C3B0BB" w:rsidR="00782D01" w:rsidRPr="00A525CB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 xml:space="preserve"> FRASER, Nancy. JAEGGI, Rahel . Capitalismo em debate: uma conversa na teoria crítica. SP: Boitempo, 2020.</w:t>
            </w:r>
          </w:p>
          <w:p w14:paraId="74034219" w14:textId="4845A580" w:rsidR="42460686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 xml:space="preserve">______________. Cannibal Capitalism: How Our System Is Devouring Democracy, Care, and the Planet and What We Can Do about It. NY: Verso. 2022. </w:t>
            </w:r>
          </w:p>
          <w:p w14:paraId="1A4B6554" w14:textId="175C8062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 HOBSBAWN, Eric. História do marxismo. Vários volumes. RJ: Paz e Terra. 1981.</w:t>
            </w:r>
          </w:p>
          <w:p w14:paraId="597B1810" w14:textId="52B5F330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HOLLOWAY, John. Mudar O Mundo Sem Tomar O Poder. SP: Boitempo, 2003. </w:t>
            </w:r>
          </w:p>
          <w:p w14:paraId="625701C4" w14:textId="6BB5A695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LOWY, Michael. A teoria da Revolução no jovem Marx. São Paulo: Boitempo, 2012.</w:t>
            </w:r>
          </w:p>
          <w:p w14:paraId="3EEBA1E2" w14:textId="32C49E70" w:rsidR="001B2A2E" w:rsidRPr="00A525CB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 xml:space="preserve"> NEGRI, Antonio. Multidão. Guerra e democracia na era do Império. RJ: Record, 2005.</w:t>
            </w:r>
          </w:p>
          <w:p w14:paraId="39AF70DB" w14:textId="468E3647" w:rsidR="42460686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42460686">
              <w:rPr>
                <w:rFonts w:ascii="Times New Roman" w:eastAsia="Times New Roman" w:hAnsi="Times New Roman" w:cs="Times New Roman"/>
                <w:lang w:eastAsia="pt-BR"/>
              </w:rPr>
              <w:t>______________. Bem-estar Comum. Rio de Janeiro: Editora Record. 2016.</w:t>
            </w:r>
          </w:p>
          <w:p w14:paraId="33BB2B31" w14:textId="4090A027" w:rsidR="42460686" w:rsidRDefault="42460686" w:rsidP="42460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3B7D47" w14:textId="77777777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VIRNO, Paolo. Virtuosismo e revolução. RJ: Civilização Brasileira, 2008.</w:t>
            </w:r>
          </w:p>
          <w:p w14:paraId="44ADC648" w14:textId="5BFAA291" w:rsidR="003051AF" w:rsidRPr="00740343" w:rsidRDefault="003051AF" w:rsidP="001B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599C830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0591A978" w14:textId="4688CEBC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AKOTIRENE, Carla. O Que é Interseccionalidade? São Paulo. Letramento. 2018.</w:t>
            </w:r>
          </w:p>
          <w:p w14:paraId="401F01A3" w14:textId="02EEF89B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ADAMS, Carol J. Política Sexual da Carne. Uma teoria crítica feminista</w:t>
            </w:r>
            <w:r w:rsidR="009422A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vegetariana. Alaúde, 2018.</w:t>
            </w:r>
          </w:p>
          <w:p w14:paraId="7BD0D7E6" w14:textId="105A96F7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CARNEIRO, Sueli. Racismo, sexismo e desigualdade no Brasil. São Paulo:</w:t>
            </w:r>
            <w:r w:rsidR="009422A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Selo Negro. 2011.</w:t>
            </w:r>
          </w:p>
          <w:p w14:paraId="15F79E13" w14:textId="5D7783A0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DAVIS, Angela. Mulheres, raça e classe. São Paulo: Boitempo, 2016.</w:t>
            </w:r>
          </w:p>
          <w:p w14:paraId="329122C5" w14:textId="24C405F0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FEDERICI. Silvia. O calibã e a bruxa - mulheres, corpo e acumulação primitiva. Rio de Janeiro. Elefante. 2017.</w:t>
            </w:r>
          </w:p>
          <w:p w14:paraId="79867506" w14:textId="2AC0C218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HILL COLINS, Patricia. Pensamento feminista negro, São Paulo.</w:t>
            </w:r>
            <w:r w:rsidR="002A111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Boitempo, 2019.</w:t>
            </w:r>
          </w:p>
          <w:p w14:paraId="51468C5D" w14:textId="7CD9BB4D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HIRATA, Helena. "Gênero, classe e raça Interseccionalidade e consubstancialidade das relações sociais". Tempo Social, Revista de Sociologia da USP, v. 26, n. 1.</w:t>
            </w:r>
          </w:p>
          <w:p w14:paraId="645ACF2C" w14:textId="767DF14F" w:rsidR="003051AF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ROSENDO, Daniela. OLIVEIRA, Fabio A. G., CARVALHO, Príscila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KUHNEN, Tânia A., Ecofeminismos: fundamentos teóricos e práxis interseccionais. Rio de Janeiro. Ape'Ku Editora. 2019.</w:t>
            </w:r>
            <w:r w:rsidR="003051AF"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3652AAB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269A4457">
        <w:tc>
          <w:tcPr>
            <w:tcW w:w="10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F41CCB" w14:textId="589F6C71" w:rsidR="00F01D21" w:rsidRPr="00740343" w:rsidRDefault="003051AF" w:rsidP="002A1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</w:tc>
      </w:tr>
    </w:tbl>
    <w:p w14:paraId="6B1E35C8" w14:textId="77777777" w:rsidR="00761DFD" w:rsidRPr="003051AF" w:rsidRDefault="00420FA1"/>
    <w:sectPr w:rsidR="00761DFD" w:rsidRPr="003051AF" w:rsidSect="00B24C7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7FD3" w14:textId="77777777" w:rsidR="00420FA1" w:rsidRDefault="00420FA1" w:rsidP="00C6710B">
      <w:r>
        <w:separator/>
      </w:r>
    </w:p>
  </w:endnote>
  <w:endnote w:type="continuationSeparator" w:id="0">
    <w:p w14:paraId="7F991408" w14:textId="77777777" w:rsidR="00420FA1" w:rsidRDefault="00420FA1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204927" w14:paraId="4DD8BE71" w14:textId="77777777" w:rsidTr="31204927">
      <w:trPr>
        <w:trHeight w:val="300"/>
      </w:trPr>
      <w:tc>
        <w:tcPr>
          <w:tcW w:w="2830" w:type="dxa"/>
        </w:tcPr>
        <w:p w14:paraId="75FFD96F" w14:textId="39CD0D04" w:rsidR="31204927" w:rsidRDefault="31204927" w:rsidP="31204927">
          <w:pPr>
            <w:pStyle w:val="Cabealho"/>
            <w:ind w:left="-115"/>
          </w:pPr>
        </w:p>
      </w:tc>
      <w:tc>
        <w:tcPr>
          <w:tcW w:w="2830" w:type="dxa"/>
        </w:tcPr>
        <w:p w14:paraId="3E5A3559" w14:textId="788C70DC" w:rsidR="31204927" w:rsidRDefault="31204927" w:rsidP="31204927">
          <w:pPr>
            <w:pStyle w:val="Cabealho"/>
            <w:jc w:val="center"/>
          </w:pPr>
        </w:p>
      </w:tc>
      <w:tc>
        <w:tcPr>
          <w:tcW w:w="2830" w:type="dxa"/>
        </w:tcPr>
        <w:p w14:paraId="4DF94EFA" w14:textId="70259CE8" w:rsidR="31204927" w:rsidRDefault="31204927" w:rsidP="31204927">
          <w:pPr>
            <w:pStyle w:val="Cabealho"/>
            <w:ind w:right="-115"/>
            <w:jc w:val="right"/>
          </w:pPr>
        </w:p>
      </w:tc>
    </w:tr>
  </w:tbl>
  <w:p w14:paraId="2C051281" w14:textId="6CA8BE4D" w:rsidR="31204927" w:rsidRDefault="31204927" w:rsidP="312049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B5865" w14:textId="77777777" w:rsidR="00420FA1" w:rsidRDefault="00420FA1" w:rsidP="00C6710B">
      <w:r>
        <w:separator/>
      </w:r>
    </w:p>
  </w:footnote>
  <w:footnote w:type="continuationSeparator" w:id="0">
    <w:p w14:paraId="3E1158A1" w14:textId="77777777" w:rsidR="00420FA1" w:rsidRDefault="00420FA1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1B2A2E"/>
    <w:rsid w:val="00226E8B"/>
    <w:rsid w:val="002A1113"/>
    <w:rsid w:val="002E7F96"/>
    <w:rsid w:val="002F5354"/>
    <w:rsid w:val="003051AF"/>
    <w:rsid w:val="00375349"/>
    <w:rsid w:val="003B09FC"/>
    <w:rsid w:val="00420FA1"/>
    <w:rsid w:val="00425554"/>
    <w:rsid w:val="004C2648"/>
    <w:rsid w:val="005360EF"/>
    <w:rsid w:val="00687733"/>
    <w:rsid w:val="006C5372"/>
    <w:rsid w:val="00740343"/>
    <w:rsid w:val="00782D01"/>
    <w:rsid w:val="007B4955"/>
    <w:rsid w:val="007C3B4B"/>
    <w:rsid w:val="007F2200"/>
    <w:rsid w:val="00807E51"/>
    <w:rsid w:val="00837A98"/>
    <w:rsid w:val="008765C8"/>
    <w:rsid w:val="00937FAB"/>
    <w:rsid w:val="009422AF"/>
    <w:rsid w:val="00A07AFF"/>
    <w:rsid w:val="00A30836"/>
    <w:rsid w:val="00A525CB"/>
    <w:rsid w:val="00B24C74"/>
    <w:rsid w:val="00B513E0"/>
    <w:rsid w:val="00B73826"/>
    <w:rsid w:val="00C6710B"/>
    <w:rsid w:val="00D5772A"/>
    <w:rsid w:val="00EE5CA2"/>
    <w:rsid w:val="00F01D21"/>
    <w:rsid w:val="269A4457"/>
    <w:rsid w:val="31204927"/>
    <w:rsid w:val="424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5D43AD98-06AB-E14B-9A26-F189A74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7</cp:revision>
  <dcterms:created xsi:type="dcterms:W3CDTF">2022-06-27T20:21:00Z</dcterms:created>
  <dcterms:modified xsi:type="dcterms:W3CDTF">2023-05-30T19:41:00Z</dcterms:modified>
</cp:coreProperties>
</file>