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Estágio Supervisionado IV</w:t>
            </w:r>
          </w:p>
        </w:tc>
      </w:tr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Supervised Internship IV</w:t>
            </w:r>
          </w:p>
        </w:tc>
      </w:tr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Código da UC: 3770</w:t>
            </w:r>
          </w:p>
        </w:tc>
      </w:tr>
      <w:tr w:rsidR="00747A4B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</w:p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 Savian Filho –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juvenal.savian@unifesp.br</w:t>
            </w:r>
          </w:p>
        </w:tc>
      </w:tr>
      <w:tr w:rsidR="00747A4B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-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-</w:t>
            </w:r>
          </w:p>
        </w:tc>
      </w:tr>
      <w:tr w:rsidR="00747A4B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Vários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>
              <w:rPr>
                <w:rFonts w:ascii="Times New Roman" w:hAnsi="Times New Roman"/>
              </w:rPr>
              <w:t>Noturno</w:t>
            </w:r>
          </w:p>
        </w:tc>
      </w:tr>
      <w:tr w:rsidR="00747A4B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4B" w:rsidRDefault="00747A4B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747A4B" w:rsidRDefault="00DB3B3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:rsidR="00747A4B" w:rsidRDefault="00DB3B3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:rsidR="00747A4B" w:rsidRDefault="00DB3B3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:rsidR="00747A4B" w:rsidRDefault="00DB3B3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:rsidR="00747A4B" w:rsidRDefault="00DB3B3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:rsidR="00747A4B" w:rsidRDefault="00DB3B3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:rsidR="00747A4B" w:rsidRDefault="00747A4B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:rsidR="00747A4B" w:rsidRDefault="00747A4B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47A4B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Eletiva</w:t>
            </w:r>
          </w:p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747A4B" w:rsidRDefault="00DB3B3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r>
              <w:rPr>
                <w:rFonts w:ascii="Times New Roman" w:hAnsi="Times New Roman" w:cs="Times New Roman"/>
                <w:lang w:eastAsia="pt-BR"/>
              </w:rPr>
              <w:t>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(X) Estágio </w:t>
            </w:r>
          </w:p>
          <w:p w:rsidR="00747A4B" w:rsidRDefault="00DB3B3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4B" w:rsidRDefault="00DB3B3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747A4B" w:rsidRDefault="00DB3B3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Semestral (  ) Anual</w:t>
            </w:r>
          </w:p>
          <w:p w:rsidR="00747A4B" w:rsidRDefault="00747A4B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Ambiente Virtual de Aprendizagem: (  )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>(X) Classroom</w:t>
            </w:r>
          </w:p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Outro </w:t>
            </w:r>
          </w:p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Não se aplica </w:t>
            </w:r>
          </w:p>
        </w:tc>
      </w:tr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- </w:t>
            </w:r>
          </w:p>
        </w:tc>
      </w:tr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total (em horas): 90</w:t>
            </w:r>
          </w:p>
        </w:tc>
      </w:tr>
      <w:tr w:rsidR="00747A4B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teórica (em horas): 50</w:t>
            </w:r>
          </w:p>
          <w:p w:rsidR="00747A4B" w:rsidRDefault="00747A4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Carga horária prática (em horas): 40</w:t>
            </w:r>
          </w:p>
          <w:p w:rsidR="00747A4B" w:rsidRDefault="00DB3B3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747A4B" w:rsidRDefault="00DB3B37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extensão, indicar código e nome do projeto ou programa vinculado na Pró-Reitoria de Extensão e Cultura (Proec): -</w:t>
            </w:r>
          </w:p>
        </w:tc>
      </w:tr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:rsidR="00747A4B" w:rsidRDefault="00DB3B37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Estágio docência de Filosofia no Ensino Médio.</w:t>
            </w:r>
          </w:p>
          <w:p w:rsidR="00747A4B" w:rsidRDefault="00747A4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Conteú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 programático: </w:t>
            </w:r>
          </w:p>
          <w:p w:rsidR="00747A4B" w:rsidRDefault="00DB3B37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Discussão das experiências de docência e de </w:t>
            </w:r>
            <w:r>
              <w:rPr>
                <w:rFonts w:ascii="Times New Roman" w:hAnsi="Times New Roman" w:cs="Times New Roman"/>
                <w:bCs/>
              </w:rPr>
              <w:t>interação com o ambiente escolar propiciadas pelos Estágios. Elaboração de um plano de ensino e de um plano de aula. A discussão temática e a presença da História da Filosofia. O ensino de filosofia e a profissão de professor/a de filosofia no Brasil.</w:t>
            </w:r>
          </w:p>
        </w:tc>
      </w:tr>
      <w:tr w:rsidR="00747A4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Obj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etivos: </w:t>
            </w:r>
          </w:p>
          <w:p w:rsidR="00747A4B" w:rsidRDefault="00DB3B37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GERAIS: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Realização de estágio docência em Filosofia no Ensino Médio. </w:t>
            </w:r>
          </w:p>
          <w:p w:rsidR="00747A4B" w:rsidRDefault="00DB3B37">
            <w:pPr>
              <w:pStyle w:val="Corpodetexto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ESPECÍFICOS: </w:t>
            </w:r>
          </w:p>
          <w:p w:rsidR="00747A4B" w:rsidRDefault="00DB3B37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Aquisição de um saber ancorado na experiência quanto a métodos de ensino e aprendizagem em filosofia com base na observação de aulas e do ambiente esco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lar, na forma de estágios </w:t>
            </w:r>
          </w:p>
          <w:p w:rsidR="00747A4B" w:rsidRDefault="00DB3B37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Reflexão sobre as relações professor(a)/estudantes e as dinâmicas em salas de aula </w:t>
            </w:r>
          </w:p>
          <w:p w:rsidR="00747A4B" w:rsidRDefault="00DB3B37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Discussão sobre as formas e os critérios de avaliação do aprendizado </w:t>
            </w:r>
          </w:p>
        </w:tc>
      </w:tr>
    </w:tbl>
    <w:p w:rsidR="00747A4B" w:rsidRDefault="00747A4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747A4B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:rsidR="00747A4B" w:rsidRDefault="00747A4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OBSERVAÇÃO PRELIMINAR: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 princípio, com o retorno das aulas presenciais, as atividades síncronas serão feitas normalmente em sala de aula. Caso, em função da pandemia de Covid-19, da epidemia de gripe ou de outra razão, as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aulas continuem em modo remoto, as atividades síncronas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serão realizadas pela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Plataforma Google Meet (Classroom). Nesse caso, os encontros serão gravados e disponibilizados para quem não puder acompanhá-los em tempo real. </w:t>
            </w:r>
          </w:p>
          <w:p w:rsidR="00747A4B" w:rsidRDefault="00747A4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47A4B" w:rsidRDefault="00DB3B37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t xml:space="preserve">Atividades Síncronas: </w:t>
            </w:r>
            <w:r>
              <w:rPr>
                <w:rFonts w:ascii="Times New Roman" w:hAnsi="Times New Roman"/>
                <w:shd w:val="clear" w:color="auto" w:fill="FFFFFF"/>
              </w:rPr>
              <w:t>Encontros de supervisão para discussão de questões práticas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teóricas, didáticas e concernentes à elaboração do relatório. Além disso, serão organizadas palestras e mesas de debates com professore/as especialistas nos temas afins e com professore/as de Filosofia no Ensino Médio. </w:t>
            </w:r>
          </w:p>
          <w:p w:rsidR="00747A4B" w:rsidRDefault="00747A4B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747A4B" w:rsidRDefault="00DB3B37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Atividades Assíncronas: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Estágio nas escolas. Leitura da bibliografia indicada. Acompanhamento dos vídeos gravados e demais indicações bibliográficas feitas pelo professor supervisor. Elaboração do relatório. </w:t>
            </w:r>
          </w:p>
          <w:p w:rsidR="00747A4B" w:rsidRDefault="00747A4B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747A4B" w:rsidRDefault="00DB3B37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Disponibilização de Material: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Eventuais materiais serão di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sponibilizados no Google Sala de Aula “Estágio Filosofia – 2022/2”. </w:t>
            </w:r>
          </w:p>
          <w:p w:rsidR="00747A4B" w:rsidRDefault="00747A4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47A4B" w:rsidRDefault="00747A4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47A4B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Avaliação: </w:t>
            </w:r>
          </w:p>
          <w:p w:rsidR="00747A4B" w:rsidRDefault="00DB3B37">
            <w:pPr>
              <w:pStyle w:val="Corpodetexto"/>
              <w:widowControl w:val="0"/>
              <w:spacing w:beforeAutospacing="1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O cumprimento da UC será avaliado a partir do relatório final concernente à UC Estágio I. A redação do relatório deve revelar a leitura do livro indicado na bibli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ografia básica e o acompanhamento das atividades síncronas. </w:t>
            </w:r>
          </w:p>
          <w:p w:rsidR="00747A4B" w:rsidRDefault="00747A4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  <w:p w:rsidR="00747A4B" w:rsidRDefault="00DB3B37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O relatório deverá proceder a uma análise da experiência integral dos estágios, relacionada com a formação do/as estudantes na universidade e com a perspectiva profissional do/a </w:t>
            </w:r>
            <w:r>
              <w:rPr>
                <w:rFonts w:ascii="Times New Roman" w:hAnsi="Times New Roman" w:cs="Times New Roman"/>
                <w:bCs/>
              </w:rPr>
              <w:t>futuro/a licenciando/a. Assim, o relatório deverá comportar:</w:t>
            </w:r>
          </w:p>
          <w:p w:rsidR="00747A4B" w:rsidRDefault="00DB3B37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Uma apresentação pessoal do/a estudante. Relato do seu percurso na licenciatura até o presente momento e descrição de conexões que ele/a estabelece entre suas experiências de estágio e a gradu</w:t>
            </w:r>
            <w:r>
              <w:rPr>
                <w:rFonts w:ascii="Times New Roman" w:hAnsi="Times New Roman" w:cs="Times New Roman"/>
                <w:bCs/>
              </w:rPr>
              <w:t>ação.</w:t>
            </w:r>
          </w:p>
          <w:p w:rsidR="00747A4B" w:rsidRDefault="00DB3B37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Caracterização geral da experiência do estágio: como o/a estudante avalia os métodos, as dinâmicas, as avaliações e os resultados práticos das aulas que acompanhou durante os estágios, tendo em vista o contexto socioeconômico em que a escola está </w:t>
            </w:r>
            <w:r>
              <w:rPr>
                <w:rFonts w:ascii="Times New Roman" w:hAnsi="Times New Roman" w:cs="Times New Roman"/>
                <w:bCs/>
              </w:rPr>
              <w:t>inserida.</w:t>
            </w:r>
          </w:p>
          <w:p w:rsidR="00747A4B" w:rsidRDefault="00DB3B37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Perspectivas futuras: qual é o ganho pessoal da experiência de estágio? De que maneira ela foi ou poderá ser útil para o/a futuro/a professor/a?</w:t>
            </w:r>
          </w:p>
          <w:p w:rsidR="00747A4B" w:rsidRDefault="00DB3B37">
            <w:pPr>
              <w:widowControl w:val="0"/>
              <w:spacing w:beforeAutospacing="1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t-BR"/>
              </w:rPr>
              <w:t xml:space="preserve">Anexo ao relatório, deverão constar um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pt-BR"/>
              </w:rPr>
              <w:t>plano de ensino semestral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t-BR"/>
              </w:rPr>
              <w:t xml:space="preserve"> e um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pt-BR"/>
              </w:rPr>
              <w:t>plano de uma aula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t-BR"/>
              </w:rPr>
              <w:t xml:space="preserve"> originais,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pt-BR"/>
              </w:rPr>
              <w:t xml:space="preserve"> refletindo toda a experiência e análise acima referidas.</w:t>
            </w:r>
          </w:p>
          <w:p w:rsidR="00747A4B" w:rsidRDefault="00747A4B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:rsidR="00747A4B" w:rsidRDefault="00747A4B">
            <w:pPr>
              <w:pStyle w:val="Corpodetexto"/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</w:tc>
      </w:tr>
      <w:tr w:rsidR="00747A4B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:rsidR="00747A4B" w:rsidRDefault="00DB3B3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:rsidR="00747A4B" w:rsidRDefault="00DB3B37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Filosofia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Brasília: MEC, 2010. Col. “Explorando o Ensino”, vol. 14. Disponível em: http://portal.mec.gov.br/index.php?option=com_docman&amp;view=download&amp;alias=7837-2011-filosofia- capa-pdf&amp;category_slug=abril-2011-pdf&amp;Itemid=30192 (Acesso em: 24 fev. 2021). </w:t>
            </w:r>
          </w:p>
          <w:p w:rsidR="00747A4B" w:rsidRDefault="00DB3B3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Comple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mentar: </w:t>
            </w:r>
          </w:p>
          <w:p w:rsidR="00747A4B" w:rsidRDefault="00DB3B37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CÁSSIO, F. (org.).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Educação contra a barbárie – Por escolas democráticas e pela liberdade de ensinar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São Paulo: Boitempo, 2019. </w:t>
            </w:r>
          </w:p>
          <w:p w:rsidR="00747A4B" w:rsidRDefault="00DB3B37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HOOKS, B. 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Ensinando a transgredir – A educação como prática da liberdade</w:t>
            </w:r>
            <w:r>
              <w:rPr>
                <w:rFonts w:ascii="TimesNewRomanPSMT" w:eastAsia="Times New Roman" w:hAnsi="TimesNewRomanPSMT" w:cs="Times New Roman"/>
                <w:i/>
                <w:iCs/>
                <w:color w:val="000000"/>
                <w:shd w:val="clear" w:color="auto" w:fill="FFFFFF"/>
                <w:lang w:eastAsia="pt-BR"/>
              </w:rPr>
              <w:t>.</w:t>
            </w: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Trad. Marcelo Brandão Cipolla. São Paulo: WMF Martins Fontes, 2017. </w:t>
            </w:r>
          </w:p>
          <w:p w:rsidR="00747A4B" w:rsidRDefault="00DB3B37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t-BR"/>
              </w:rPr>
              <w:t>Base Nacional Comum Curricular do Ensino Médio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. http://portal.mec.gov.br/index.php? option=com_docman&amp;view=download&amp;alias=85121-bncc-ensino-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lastRenderedPageBreak/>
              <w:t xml:space="preserve">medio&amp;category_slug=abril-2018- pdf&amp;Itemid=30192 (Acesso em 1o mar. 2021) </w:t>
            </w:r>
          </w:p>
          <w:p w:rsidR="00747A4B" w:rsidRDefault="00747A4B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:rsidR="00747A4B" w:rsidRDefault="00DB3B37">
            <w:pPr>
              <w:pStyle w:val="Corpodetexto"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Outras referências bibliográficas serão indicadas ao longo do semestre, inclusive p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rocurando refletir as experiências particulares do/as estudantes nos estágios. </w:t>
            </w:r>
          </w:p>
          <w:p w:rsidR="00747A4B" w:rsidRDefault="00747A4B">
            <w:pPr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47A4B" w:rsidRDefault="00747A4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47A4B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4B" w:rsidRDefault="00DB3B3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:rsidR="00747A4B" w:rsidRDefault="00DB3B37">
            <w:pPr>
              <w:pStyle w:val="Corpodetexto"/>
              <w:widowControl w:val="0"/>
              <w:spacing w:beforeAutospacing="1" w:after="0"/>
              <w:rPr>
                <w:rFonts w:ascii="TimesNewRomanPS" w:hAnsi="TimesNewRomanPS"/>
              </w:rPr>
            </w:pPr>
            <w:r>
              <w:rPr>
                <w:rFonts w:ascii="TimesNewRomanPS" w:eastAsia="Times New Roman" w:hAnsi="TimesNewRomanPS" w:cs="Times New Roman"/>
                <w:lang w:eastAsia="pt-BR"/>
              </w:rPr>
              <w:t xml:space="preserve">Data a definir: </w:t>
            </w:r>
            <w:r>
              <w:rPr>
                <w:rFonts w:ascii="TimesNewRomanPS" w:hAnsi="TimesNewRomanPS"/>
              </w:rPr>
              <w:t xml:space="preserve">Encontro online com todos os estudantes matriculados </w:t>
            </w:r>
          </w:p>
          <w:p w:rsidR="00747A4B" w:rsidRDefault="00DB3B37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Debate com professores do Ensino Médio </w:t>
            </w:r>
          </w:p>
          <w:p w:rsidR="00747A4B" w:rsidRDefault="00DB3B37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Palestra sobre o ensino de Filosofia no Ensino Médio </w:t>
            </w:r>
          </w:p>
          <w:p w:rsidR="00747A4B" w:rsidRDefault="00DB3B37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Encontro regular com o professor supervisor do estágio </w:t>
            </w:r>
          </w:p>
          <w:p w:rsidR="00747A4B" w:rsidRDefault="00DB3B37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Data máxima para entrega dos relatórios </w:t>
            </w:r>
          </w:p>
          <w:p w:rsidR="00747A4B" w:rsidRDefault="00DB3B37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Encerramento do semestre </w:t>
            </w:r>
          </w:p>
          <w:p w:rsidR="00747A4B" w:rsidRDefault="00747A4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47A4B" w:rsidRDefault="00747A4B"/>
    <w:sectPr w:rsidR="00747A4B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3B37" w:rsidRDefault="00DB3B37">
      <w:r>
        <w:separator/>
      </w:r>
    </w:p>
  </w:endnote>
  <w:endnote w:type="continuationSeparator" w:id="0">
    <w:p w:rsidR="00DB3B37" w:rsidRDefault="00DB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1"/>
    <w:family w:val="roman"/>
    <w:pitch w:val="variable"/>
  </w:font>
  <w:font w:name="TimesNewRomanPS">
    <w:altName w:val="Times New Roman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3B37" w:rsidRDefault="00DB3B37">
      <w:r>
        <w:separator/>
      </w:r>
    </w:p>
  </w:footnote>
  <w:footnote w:type="continuationSeparator" w:id="0">
    <w:p w:rsidR="00DB3B37" w:rsidRDefault="00DB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A4B" w:rsidRDefault="00DB3B37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:rsidR="00747A4B" w:rsidRDefault="00DB3B37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:rsidR="00747A4B" w:rsidRDefault="00DB3B37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:rsidR="00747A4B" w:rsidRDefault="00747A4B">
    <w:pPr>
      <w:rPr>
        <w:rFonts w:ascii="Times New Roman" w:eastAsia="Times New Roman" w:hAnsi="Times New Roman" w:cs="Times New Roman"/>
        <w:lang w:eastAsia="pt-BR"/>
      </w:rPr>
    </w:pPr>
  </w:p>
  <w:p w:rsidR="00747A4B" w:rsidRDefault="00747A4B">
    <w:pPr>
      <w:pStyle w:val="Cabealho"/>
      <w:jc w:val="center"/>
      <w:rPr>
        <w:rFonts w:ascii="Times New Roman" w:hAnsi="Times New Roman" w:cs="Times New Roman"/>
      </w:rPr>
    </w:pPr>
  </w:p>
  <w:p w:rsidR="00747A4B" w:rsidRDefault="00747A4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73E42"/>
    <w:multiLevelType w:val="multilevel"/>
    <w:tmpl w:val="3552F1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65496E86"/>
    <w:multiLevelType w:val="multilevel"/>
    <w:tmpl w:val="B8504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4B"/>
    <w:rsid w:val="002C14F3"/>
    <w:rsid w:val="00747A4B"/>
    <w:rsid w:val="00D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93216A4D-05B9-BE40-BD49-2B23A29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D9189AA-624E-5D47-B72D-7FE430C7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Lívia Almeida</cp:lastModifiedBy>
  <cp:revision>2</cp:revision>
  <dcterms:created xsi:type="dcterms:W3CDTF">2022-08-10T15:11:00Z</dcterms:created>
  <dcterms:modified xsi:type="dcterms:W3CDTF">2022-08-10T15:11:00Z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