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386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29544DFD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240A260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4A210F2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1E38A3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870E61B" w14:textId="77777777" w:rsidR="009332FA" w:rsidRPr="005D0744" w:rsidRDefault="008F5379" w:rsidP="005D0744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5D0744">
              <w:rPr>
                <w:rFonts w:ascii="Times New Roman" w:hAnsi="Times New Roman" w:cs="Times New Roman"/>
              </w:rPr>
              <w:t>Lógica – Modalidade e Metafísica</w:t>
            </w:r>
          </w:p>
        </w:tc>
      </w:tr>
      <w:tr w:rsidR="00F84B16" w:rsidRPr="00A04FC0" w14:paraId="1BCBB3B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DF7858F" w14:textId="77777777" w:rsidR="00F84B16" w:rsidRPr="005705FE" w:rsidRDefault="008F5379" w:rsidP="005D0744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D0744">
              <w:rPr>
                <w:rFonts w:ascii="Times New Roman" w:hAnsi="Times New Roman" w:cs="Times New Roman"/>
                <w:b w:val="0"/>
                <w:bCs/>
              </w:rPr>
              <w:t>90hs.</w:t>
            </w:r>
          </w:p>
        </w:tc>
      </w:tr>
      <w:tr w:rsidR="008F5379" w:rsidRPr="00A04FC0" w14:paraId="7C71B7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0B940C6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D0744">
              <w:rPr>
                <w:rFonts w:ascii="Times New Roman" w:hAnsi="Times New Roman" w:cs="Times New Roman"/>
                <w:b w:val="0"/>
              </w:rPr>
              <w:t>Pedro Santos</w:t>
            </w:r>
          </w:p>
          <w:p w14:paraId="0DF6E3F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3945445" w14:textId="77777777" w:rsidR="008F5379" w:rsidRPr="00A04FC0" w:rsidRDefault="008F5379" w:rsidP="005D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D0744">
              <w:rPr>
                <w:rFonts w:ascii="Times New Roman" w:hAnsi="Times New Roman" w:cs="Times New Roman"/>
                <w:b w:val="0"/>
              </w:rPr>
              <w:t>pedromrfs@gmail.com</w:t>
            </w:r>
          </w:p>
        </w:tc>
      </w:tr>
      <w:tr w:rsidR="003D7D73" w:rsidRPr="00A04FC0" w14:paraId="7B339A4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18F15F2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949B1B7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38D93A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B2D670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3A53BC7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0992EEF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0FAA39DB" w14:textId="77777777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5D0744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Dar aos alunos alguma noção do que seja a lógica</w:t>
            </w:r>
          </w:p>
          <w:p w14:paraId="107A2E6D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5D0744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Introduzir os alunos à lógica elementar clássica e à lógica modal Alética clássica</w:t>
            </w:r>
          </w:p>
        </w:tc>
      </w:tr>
      <w:tr w:rsidR="008F5379" w:rsidRPr="00A04FC0" w14:paraId="15F590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972E209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7565488" w14:textId="77777777" w:rsidR="008F5379" w:rsidRPr="006A10B7" w:rsidRDefault="000B64E4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0C14BA">
              <w:rPr>
                <w:rFonts w:ascii="Times New Roman" w:eastAsia="Arial" w:hAnsi="Times New Roman" w:cs="Times New Roman"/>
                <w:smallCaps/>
                <w:color w:val="C00000"/>
              </w:rPr>
              <w:t>(consultar o ementário)</w:t>
            </w:r>
          </w:p>
        </w:tc>
      </w:tr>
      <w:tr w:rsidR="003372C2" w:rsidRPr="00A04FC0" w14:paraId="26E00418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A3B70A" w14:textId="77777777" w:rsidR="005D0744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BB1A139" w14:textId="77777777" w:rsidR="005D0744" w:rsidRDefault="005D074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1) Cálculo Proposicional</w:t>
            </w:r>
          </w:p>
          <w:p w14:paraId="3882D017" w14:textId="77777777" w:rsidR="005D0744" w:rsidRDefault="005D074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2) Cálculo de Predicados</w:t>
            </w:r>
          </w:p>
          <w:p w14:paraId="0D75C7AB" w14:textId="77777777" w:rsidR="005D0744" w:rsidRDefault="005D074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3) Lógica modal proposicional</w:t>
            </w:r>
          </w:p>
          <w:p w14:paraId="7A799F45" w14:textId="77777777" w:rsidR="006A10B7" w:rsidRPr="006A10B7" w:rsidRDefault="005D0744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4) lógica modal de predicados</w:t>
            </w:r>
          </w:p>
        </w:tc>
      </w:tr>
      <w:tr w:rsidR="003D7D73" w:rsidRPr="00A04FC0" w14:paraId="033D19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B09C117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40418E49" w14:textId="77777777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  <w:r w:rsidR="005D0744">
              <w:rPr>
                <w:rFonts w:ascii="Times New Roman" w:hAnsi="Times New Roman" w:cs="Times New Roman"/>
                <w:color w:val="000000"/>
              </w:rPr>
              <w:t xml:space="preserve"> Aulas por Google Meet</w:t>
            </w:r>
          </w:p>
          <w:p w14:paraId="2DFC54F9" w14:textId="77777777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44548EC0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AF541B9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  <w:r w:rsidR="0061643F">
              <w:rPr>
                <w:rFonts w:ascii="Times New Roman" w:hAnsi="Times New Roman" w:cs="Times New Roman"/>
                <w:color w:val="000000"/>
              </w:rPr>
              <w:t xml:space="preserve"> Estudar por conta própria</w:t>
            </w:r>
            <w:r w:rsidR="005D0744">
              <w:rPr>
                <w:rFonts w:ascii="Times New Roman" w:hAnsi="Times New Roman" w:cs="Times New Roman"/>
                <w:color w:val="000000"/>
              </w:rPr>
              <w:t xml:space="preserve"> (pode compensar pelas atividades </w:t>
            </w:r>
            <w:r w:rsidR="0061643F">
              <w:rPr>
                <w:rFonts w:ascii="Times New Roman" w:hAnsi="Times New Roman" w:cs="Times New Roman"/>
                <w:color w:val="000000"/>
              </w:rPr>
              <w:t>síncronas)</w:t>
            </w:r>
          </w:p>
          <w:p w14:paraId="2DE75E94" w14:textId="77777777" w:rsidR="005D0744" w:rsidRDefault="005D0744" w:rsidP="005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20241DB9" w14:textId="77777777" w:rsidR="00BE5183" w:rsidRPr="00A04FC0" w:rsidRDefault="00BE5183" w:rsidP="005D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  <w:r w:rsidR="005D0744">
              <w:rPr>
                <w:rFonts w:ascii="Times New Roman" w:hAnsi="Times New Roman" w:cs="Times New Roman"/>
              </w:rPr>
              <w:t xml:space="preserve"> Internet</w:t>
            </w:r>
          </w:p>
          <w:p w14:paraId="24950066" w14:textId="77777777" w:rsidR="00161219" w:rsidRPr="00A04FC0" w:rsidRDefault="00161219" w:rsidP="005D074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0033C40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A11CCA4" w14:textId="77777777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  <w:r w:rsidR="005D0744">
              <w:rPr>
                <w:rFonts w:ascii="Times New Roman" w:hAnsi="Times New Roman" w:cs="Times New Roman"/>
              </w:rPr>
              <w:t>Provas</w:t>
            </w:r>
          </w:p>
          <w:p w14:paraId="77E48D03" w14:textId="77777777" w:rsidR="000069B0" w:rsidRPr="005D0744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Conceito final: cumprido/ não cumprid</w:t>
            </w:r>
            <w:r w:rsidR="005D0744">
              <w:rPr>
                <w:rFonts w:ascii="Times New Roman" w:hAnsi="Times New Roman" w:cs="Times New Roman"/>
              </w:rPr>
              <w:t>o (infelizmente)</w:t>
            </w:r>
          </w:p>
          <w:p w14:paraId="1602B057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518A5D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CF368BA" w14:textId="77777777" w:rsidR="008A4B9F" w:rsidRPr="005D0744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010585E9" w14:textId="77777777" w:rsidR="005D0744" w:rsidRDefault="005D0744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W. V. O. Quine: The Methods of Logic</w:t>
            </w:r>
          </w:p>
          <w:p w14:paraId="4BEEF171" w14:textId="77777777" w:rsidR="0061643F" w:rsidRDefault="005D0744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C. A. Mortari: Introdução à lógica</w:t>
            </w:r>
            <w:r w:rsidR="0061643F">
              <w:rPr>
                <w:rFonts w:ascii="Times New Roman" w:hAnsi="Times New Roman" w:cs="Times New Roman"/>
                <w:smallCaps/>
                <w:color w:val="000000"/>
              </w:rPr>
              <w:t xml:space="preserve"> (2</w:t>
            </w:r>
            <w:r w:rsidR="0061643F" w:rsidRPr="0061643F">
              <w:rPr>
                <w:rFonts w:ascii="Times New Roman" w:hAnsi="Times New Roman" w:cs="Times New Roman"/>
                <w:smallCaps/>
                <w:color w:val="000000"/>
                <w:vertAlign w:val="superscript"/>
              </w:rPr>
              <w:t>a</w:t>
            </w:r>
            <w:r w:rsidR="0061643F">
              <w:rPr>
                <w:rFonts w:ascii="Times New Roman" w:hAnsi="Times New Roman" w:cs="Times New Roman"/>
                <w:smallCaps/>
                <w:color w:val="000000"/>
              </w:rPr>
              <w:t xml:space="preserve"> Edição)</w:t>
            </w:r>
          </w:p>
          <w:p w14:paraId="28B165ED" w14:textId="77777777" w:rsidR="0061643F" w:rsidRDefault="0061643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38A00D4A" w14:textId="77777777" w:rsidR="005D0744" w:rsidRPr="0061643F" w:rsidRDefault="0061643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Ambas obras encontram-se disponíveis no site </w:t>
            </w:r>
            <w:r>
              <w:rPr>
                <w:rFonts w:ascii="Times New Roman" w:hAnsi="Times New Roman" w:cs="Times New Roman"/>
                <w:color w:val="000000"/>
              </w:rPr>
              <w:t>lib.gen</w:t>
            </w:r>
          </w:p>
          <w:p w14:paraId="6F2AA1B4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05336E6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43A21E7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5F9D42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11EB325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31CB4A7D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EF5722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09292CB8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BA54D90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14253E9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EFC34DC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84959F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56CA2FF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3B5C6E2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F9BB96B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73DF4FD1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5F5C4" w14:textId="77777777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54B24F52" w14:textId="77777777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5799E4F0" w14:textId="77777777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38E7FE9E" w14:textId="77777777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45F0B775" w14:textId="77777777" w:rsidR="00A648B6" w:rsidRPr="00A04FC0" w:rsidRDefault="00D66E34" w:rsidP="005D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3EBAEF67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47F0B7A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17544818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371FCF30" w14:textId="77777777" w:rsidR="001741EF" w:rsidRPr="00A04FC0" w:rsidRDefault="001741EF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A5C2B7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1CFC7BEE" w14:textId="77777777" w:rsidR="008A4B9F" w:rsidRPr="00A04FC0" w:rsidRDefault="005D0744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</w:p>
        </w:tc>
        <w:tc>
          <w:tcPr>
            <w:tcW w:w="1108" w:type="dxa"/>
            <w:shd w:val="clear" w:color="auto" w:fill="auto"/>
          </w:tcPr>
          <w:p w14:paraId="1D2B0B11" w14:textId="77777777" w:rsidR="001741EF" w:rsidRPr="00A04FC0" w:rsidRDefault="005D0744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41EF" w:rsidRPr="00A04FC0" w14:paraId="4863A14F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175E8E0C" w14:textId="77777777" w:rsidR="001741EF" w:rsidRPr="00A04FC0" w:rsidRDefault="001741EF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17C2738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5D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3F">
              <w:rPr>
                <w:rFonts w:ascii="Times New Roman" w:hAnsi="Times New Roman" w:cs="Times New Roman"/>
                <w:sz w:val="24"/>
                <w:szCs w:val="24"/>
              </w:rPr>
              <w:t>Estudar por conta própria</w:t>
            </w:r>
          </w:p>
          <w:p w14:paraId="32F96669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A688" w14:textId="77777777" w:rsidR="008A4B9F" w:rsidRPr="00062157" w:rsidRDefault="008A4B9F" w:rsidP="003B69A0">
            <w:pPr>
              <w:spacing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33387D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AEE6A05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F67E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0DDA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2204" w14:textId="77777777" w:rsidR="00372AA5" w:rsidRPr="00A04FC0" w:rsidRDefault="0061643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B9F" w:rsidRPr="00A04FC0" w14:paraId="3E02AD5C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313033D5" w14:textId="77777777" w:rsidR="008A4B9F" w:rsidRPr="00A04FC0" w:rsidRDefault="008A4B9F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1414DF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EF0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57A405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683B98FE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07C169E8" w14:textId="77777777" w:rsidR="001741EF" w:rsidRPr="00A04FC0" w:rsidRDefault="001741EF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208A7B3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61643F">
              <w:rPr>
                <w:rFonts w:ascii="Times New Roman" w:hAnsi="Times New Roman" w:cs="Times New Roman"/>
                <w:sz w:val="24"/>
                <w:szCs w:val="24"/>
              </w:rPr>
              <w:t>provas</w:t>
            </w:r>
          </w:p>
          <w:p w14:paraId="41163D44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D393F3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38A78DBE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51692AF4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AA1B4F2" w14:textId="77777777" w:rsidR="00CA0C06" w:rsidRPr="00A04FC0" w:rsidRDefault="0061643F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5C96ACD0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0EF58619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C2618E9" w14:textId="66BF7561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09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/02/2022</w:t>
            </w:r>
          </w:p>
        </w:tc>
      </w:tr>
    </w:tbl>
    <w:p w14:paraId="1B707F4E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45D0A1B6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89CCE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A51A" w14:textId="77777777" w:rsidR="0053650A" w:rsidRDefault="0053650A" w:rsidP="003D7D73">
      <w:pPr>
        <w:spacing w:before="0" w:after="0"/>
      </w:pPr>
      <w:r>
        <w:separator/>
      </w:r>
    </w:p>
  </w:endnote>
  <w:endnote w:type="continuationSeparator" w:id="0">
    <w:p w14:paraId="3ADEF59C" w14:textId="77777777" w:rsidR="0053650A" w:rsidRDefault="0053650A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C21A" w14:textId="77777777" w:rsidR="0053650A" w:rsidRDefault="0053650A" w:rsidP="003D7D73">
      <w:pPr>
        <w:spacing w:before="0" w:after="0"/>
      </w:pPr>
      <w:r>
        <w:separator/>
      </w:r>
    </w:p>
  </w:footnote>
  <w:footnote w:type="continuationSeparator" w:id="0">
    <w:p w14:paraId="0DB2B114" w14:textId="77777777" w:rsidR="0053650A" w:rsidRDefault="0053650A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D75B" w14:textId="77777777" w:rsidR="005D0744" w:rsidRPr="007D13B3" w:rsidRDefault="005D0744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0102B84" wp14:editId="57621003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680D319B" wp14:editId="5D35047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5F8993D0" w14:textId="77777777" w:rsidR="005D0744" w:rsidRPr="007D13B3" w:rsidRDefault="005D0744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3BF87B46" w14:textId="77777777" w:rsidR="005D0744" w:rsidRPr="007D13B3" w:rsidRDefault="005D0744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69E1362" w14:textId="77777777" w:rsidR="005D0744" w:rsidRPr="004A4747" w:rsidRDefault="005D0744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395A601B" w14:textId="77777777" w:rsidR="005D0744" w:rsidRDefault="005D0744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5B25CCEA" w14:textId="77777777" w:rsidR="005D0744" w:rsidRPr="008C7160" w:rsidRDefault="005D0744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069B0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5574A"/>
    <w:rsid w:val="003658CA"/>
    <w:rsid w:val="00372AA5"/>
    <w:rsid w:val="003731EC"/>
    <w:rsid w:val="003815F1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E09A8"/>
    <w:rsid w:val="00511780"/>
    <w:rsid w:val="0051732A"/>
    <w:rsid w:val="0053650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D0744"/>
    <w:rsid w:val="005E4FC1"/>
    <w:rsid w:val="0060104B"/>
    <w:rsid w:val="00603178"/>
    <w:rsid w:val="0061643F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C472E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3437"/>
  <w15:docId w15:val="{FFE601F9-00DA-49D9-A510-1899A7C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2021-07-12T18:55:00Z</dcterms:created>
  <dcterms:modified xsi:type="dcterms:W3CDTF">2021-08-18T14:01:00Z</dcterms:modified>
</cp:coreProperties>
</file>