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F28B" w14:textId="28EDD849" w:rsidR="00F84B16" w:rsidRPr="00AB2A12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B2A12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DBC3006" w14:textId="19076F63" w:rsidR="003D7D73" w:rsidRPr="00AB2A12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B2A12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17F08EE6" w14:textId="7F826CE6" w:rsidR="00314D10" w:rsidRPr="00AB2A12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AB2A12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B2A12">
        <w:rPr>
          <w:rFonts w:ascii="Times New Roman" w:hAnsi="Times New Roman" w:cs="Times New Roman"/>
          <w:b w:val="0"/>
          <w:bCs/>
        </w:rPr>
        <w:t>as</w:t>
      </w:r>
      <w:r w:rsidRPr="00AB2A12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B2A12">
        <w:rPr>
          <w:rFonts w:ascii="Times New Roman" w:hAnsi="Times New Roman" w:cs="Times New Roman"/>
          <w:b w:val="0"/>
          <w:bCs/>
        </w:rPr>
        <w:t>s</w:t>
      </w:r>
      <w:r w:rsidR="007A3588" w:rsidRPr="00AB2A12">
        <w:rPr>
          <w:rFonts w:ascii="Times New Roman" w:hAnsi="Times New Roman" w:cs="Times New Roman"/>
          <w:b w:val="0"/>
          <w:bCs/>
        </w:rPr>
        <w:t xml:space="preserve">. </w:t>
      </w:r>
      <w:r w:rsidR="00D65F2E" w:rsidRPr="00AB2A12">
        <w:rPr>
          <w:rFonts w:ascii="Times New Roman" w:hAnsi="Times New Roman" w:cs="Times New Roman"/>
          <w:b w:val="0"/>
          <w:bCs/>
        </w:rPr>
        <w:t>A</w:t>
      </w:r>
      <w:r w:rsidRPr="00AB2A12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B2A12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B2A12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B2A12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B2A12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B2A12">
        <w:rPr>
          <w:rFonts w:ascii="Times New Roman" w:hAnsi="Times New Roman" w:cs="Times New Roman"/>
          <w:b w:val="0"/>
          <w:bCs/>
        </w:rPr>
        <w:t>.</w:t>
      </w:r>
    </w:p>
    <w:p w14:paraId="26231180" w14:textId="77777777" w:rsidR="00314D10" w:rsidRPr="00AB2A12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SimplesTabela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B2A12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6A03FA9A" w14:textId="015EDA45" w:rsidR="009332FA" w:rsidRPr="00AB2A12" w:rsidRDefault="008F5379" w:rsidP="00511780">
            <w:pPr>
              <w:spacing w:after="0"/>
              <w:rPr>
                <w:rFonts w:ascii="Times New Roman" w:hAnsi="Times New Roman" w:cs="Times New Roman"/>
              </w:rPr>
            </w:pPr>
            <w:r w:rsidRPr="00AB2A12">
              <w:rPr>
                <w:rFonts w:ascii="Times New Roman" w:hAnsi="Times New Roman" w:cs="Times New Roman"/>
              </w:rPr>
              <w:t>UNIDADE CURRICULAR</w:t>
            </w:r>
            <w:r w:rsidR="003D7D73" w:rsidRPr="00AB2A12">
              <w:rPr>
                <w:rFonts w:ascii="Times New Roman" w:hAnsi="Times New Roman" w:cs="Times New Roman"/>
              </w:rPr>
              <w:t xml:space="preserve">:  </w:t>
            </w:r>
          </w:p>
          <w:p w14:paraId="450E12E0" w14:textId="348BEDFC" w:rsidR="009332FA" w:rsidRPr="00AB2A12" w:rsidRDefault="00FA0307" w:rsidP="008F2271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B2A12">
              <w:rPr>
                <w:rFonts w:ascii="Times New Roman" w:hAnsi="Times New Roman" w:cs="Times New Roman"/>
              </w:rPr>
              <w:t>Filosofia da Lógica I</w:t>
            </w:r>
          </w:p>
        </w:tc>
      </w:tr>
      <w:tr w:rsidR="00F84B16" w:rsidRPr="00AB2A12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0F4A0E45" w:rsidR="00F84B16" w:rsidRPr="00AB2A12" w:rsidRDefault="008F5379" w:rsidP="00BE5183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B2A12">
              <w:rPr>
                <w:rFonts w:ascii="Times New Roman" w:hAnsi="Times New Roman" w:cs="Times New Roman"/>
              </w:rPr>
              <w:t>Carga Horária Total da UC</w:t>
            </w:r>
            <w:r w:rsidR="00F84B16" w:rsidRPr="00AB2A12">
              <w:rPr>
                <w:rFonts w:ascii="Times New Roman" w:hAnsi="Times New Roman" w:cs="Times New Roman"/>
              </w:rPr>
              <w:t>:</w:t>
            </w:r>
            <w:r w:rsidR="00FA0307" w:rsidRPr="00AB2A12">
              <w:rPr>
                <w:rFonts w:ascii="Times New Roman" w:hAnsi="Times New Roman" w:cs="Times New Roman"/>
                <w:b w:val="0"/>
                <w:bCs/>
              </w:rPr>
              <w:t xml:space="preserve"> 90h</w:t>
            </w:r>
          </w:p>
        </w:tc>
      </w:tr>
      <w:tr w:rsidR="008F5379" w:rsidRPr="00AB2A12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202FE88" w14:textId="77777777" w:rsidR="008F5379" w:rsidRPr="00AB2A12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B2A12">
              <w:rPr>
                <w:rFonts w:ascii="Times New Roman" w:hAnsi="Times New Roman" w:cs="Times New Roman"/>
              </w:rPr>
              <w:t>Professor(a) Responsável:</w:t>
            </w:r>
            <w:r w:rsidRPr="00AB2A12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55AD0D4B" w14:textId="79EDD70C" w:rsidR="008F5379" w:rsidRPr="00AB2A12" w:rsidRDefault="00FA0307" w:rsidP="00CA055A">
            <w:pPr>
              <w:rPr>
                <w:rFonts w:ascii="Times New Roman" w:hAnsi="Times New Roman" w:cs="Times New Roman"/>
                <w:b w:val="0"/>
              </w:rPr>
            </w:pPr>
            <w:r w:rsidRPr="00AB2A12">
              <w:rPr>
                <w:rFonts w:ascii="Times New Roman" w:hAnsi="Times New Roman" w:cs="Times New Roman"/>
                <w:b w:val="0"/>
              </w:rPr>
              <w:t>Marcelo Carvalho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D0593F6" w14:textId="746A638D" w:rsidR="008F5379" w:rsidRPr="00AB2A12" w:rsidRDefault="008F537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B2A12">
              <w:rPr>
                <w:rFonts w:ascii="Times New Roman" w:hAnsi="Times New Roman" w:cs="Times New Roman"/>
                <w:bCs/>
              </w:rPr>
              <w:t>Contato</w:t>
            </w:r>
            <w:r w:rsidRPr="00AB2A12">
              <w:rPr>
                <w:rFonts w:ascii="Times New Roman" w:hAnsi="Times New Roman" w:cs="Times New Roman"/>
                <w:b w:val="0"/>
              </w:rPr>
              <w:t>:</w:t>
            </w:r>
            <w:r w:rsidR="00FA0307" w:rsidRPr="00AB2A12">
              <w:rPr>
                <w:rFonts w:ascii="Times New Roman" w:hAnsi="Times New Roman" w:cs="Times New Roman"/>
                <w:b w:val="0"/>
                <w:color w:val="C00000"/>
              </w:rPr>
              <w:t xml:space="preserve"> </w:t>
            </w:r>
            <w:r w:rsidR="00FA0307" w:rsidRPr="00AB2A12">
              <w:rPr>
                <w:rFonts w:ascii="Times New Roman" w:hAnsi="Times New Roman" w:cs="Times New Roman"/>
                <w:b w:val="0"/>
              </w:rPr>
              <w:t>carvalho.marcelo@unifesp.br</w:t>
            </w:r>
          </w:p>
        </w:tc>
      </w:tr>
      <w:tr w:rsidR="003D7D73" w:rsidRPr="00AB2A12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739CDAE6" w:rsidR="00261EB7" w:rsidRPr="00AB2A12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</w:rPr>
              <w:t xml:space="preserve">Ano Letivo: </w:t>
            </w:r>
            <w:r w:rsidR="00BE5183" w:rsidRPr="00AB2A12">
              <w:rPr>
                <w:rFonts w:ascii="Times New Roman" w:hAnsi="Times New Roman" w:cs="Times New Roman"/>
              </w:rPr>
              <w:t>202</w:t>
            </w:r>
            <w:r w:rsidR="00860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780D178A" w:rsidR="003D7D73" w:rsidRPr="00AB2A12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</w:rPr>
              <w:t xml:space="preserve">Semestre: </w:t>
            </w:r>
            <w:r w:rsidR="00BE5183" w:rsidRPr="00AB2A12">
              <w:rPr>
                <w:rFonts w:ascii="Times New Roman" w:hAnsi="Times New Roman" w:cs="Times New Roman"/>
              </w:rPr>
              <w:t>2º SEMESTRE</w:t>
            </w:r>
          </w:p>
        </w:tc>
      </w:tr>
      <w:tr w:rsidR="008F5379" w:rsidRPr="00AB2A12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AB2A12" w:rsidRDefault="008F5379" w:rsidP="00CA055A">
            <w:pPr>
              <w:rPr>
                <w:rFonts w:ascii="Times New Roman" w:hAnsi="Times New Roman" w:cs="Times New Roman"/>
              </w:rPr>
            </w:pPr>
            <w:r w:rsidRPr="00AB2A12">
              <w:rPr>
                <w:rFonts w:ascii="Times New Roman" w:eastAsia="Arial" w:hAnsi="Times New Roman" w:cs="Times New Roman"/>
              </w:rPr>
              <w:t>Departamento:</w:t>
            </w:r>
            <w:r w:rsidR="00862D08" w:rsidRPr="00AB2A12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AB2A12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896362" w14:textId="77777777" w:rsidR="008F5379" w:rsidRPr="00AB2A12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AB2A12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18B669D1" w14:textId="0FACEF01" w:rsidR="008F5379" w:rsidRPr="00AB2A12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AB2A12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</w:p>
          <w:p w14:paraId="3844A31D" w14:textId="77777777" w:rsidR="00FA0307" w:rsidRPr="00AB2A12" w:rsidRDefault="00FA0307" w:rsidP="00FA0307">
            <w:pPr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>Possibilitar ao aluno a compreensão dos problemas filosóficos que conduziram a constituição da lógica como um tema central do debate filosófico e sua relação com a ontologia. Caracterizar o debate platônico sobre a linguagem e, em meio a ele, identificar as escolhas fundamentais que se situam na base do debate sobre a lógica e a linguagem na antiguidade. Apresentar o vocabulário e os instrumentos específicos da análise lógica da linguagem, bem como sua relação como conceito de verdade em Aristóteles e na tradição filosófica ocidental. Apresentar preliminarmente o trabalho com operadores lógicos e com linguagens formalizadas, considerando-se, em particular, sua relação com os problemas centrais da filosofia. Relacionar os debates clássicos sobre lógica e linguagem com os problemas da Filosofia Contemporânea.</w:t>
            </w:r>
          </w:p>
          <w:p w14:paraId="7859A98A" w14:textId="77777777" w:rsidR="008F5379" w:rsidRPr="00AB2A12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  <w:sz w:val="20"/>
                <w:szCs w:val="20"/>
              </w:rPr>
            </w:pPr>
          </w:p>
          <w:p w14:paraId="47E290AA" w14:textId="4975FC92" w:rsidR="008F5379" w:rsidRPr="00AB2A12" w:rsidRDefault="008F5379" w:rsidP="00CA055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B2A12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</w:p>
          <w:p w14:paraId="24CD4FBC" w14:textId="2B326893" w:rsidR="008F5379" w:rsidRPr="00AB2A12" w:rsidRDefault="008F5379" w:rsidP="00CA055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F5379" w:rsidRPr="00AB2A12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0B7989C6" w:rsidR="008F5379" w:rsidRPr="00AB2A12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B2A12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367007A6" w14:textId="022E0CCE" w:rsidR="00FA0307" w:rsidRPr="00AB2A12" w:rsidRDefault="00FA0307" w:rsidP="00FA0307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>A unidade curricular propõe examinar o lugar da lógica nos quadros de pensamento da História da Filosofia, as modalidades e formas do pensamento, abrindo o campo da reflexão sobre o pensamento analítico, suas modalizações antigas e contemporâneas.</w:t>
            </w:r>
          </w:p>
          <w:p w14:paraId="0A5C9697" w14:textId="77777777" w:rsidR="008F5379" w:rsidRPr="00AB2A12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</w:tr>
      <w:tr w:rsidR="003372C2" w:rsidRPr="00AB2A12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C80D77B" w14:textId="1AABFB25" w:rsidR="008F5379" w:rsidRPr="00AB2A12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 w:rsidRPr="00AB2A12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24ACF5C3" w14:textId="77777777" w:rsidR="00FA0307" w:rsidRPr="00AB2A12" w:rsidRDefault="00FA0307" w:rsidP="00FA0307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1. Linguagem e ontologia na filosofia grega (de Parmênides a Platão) </w:t>
            </w:r>
          </w:p>
          <w:p w14:paraId="1A5D12EF" w14:textId="77777777" w:rsidR="00FA0307" w:rsidRPr="00AB2A12" w:rsidRDefault="00FA0307" w:rsidP="00FA0307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>2. Platão, os sofistas e as origens da lógica aristotélica (predicação, negação e gêneros no Sofista)</w:t>
            </w:r>
          </w:p>
          <w:p w14:paraId="7FAC0D2C" w14:textId="77777777" w:rsidR="00FA0307" w:rsidRPr="00AB2A12" w:rsidRDefault="00FA0307" w:rsidP="00FA0307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>3. Aristóteles e o logos (proposição, inferência e necessidade).</w:t>
            </w:r>
          </w:p>
          <w:p w14:paraId="06825397" w14:textId="77777777" w:rsidR="00FA0307" w:rsidRPr="00AB2A12" w:rsidRDefault="00FA0307" w:rsidP="00FA0307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lastRenderedPageBreak/>
              <w:t>4. A tradição pós-kantiana de reflexão sobre linguagem e ontologia.</w:t>
            </w:r>
          </w:p>
          <w:p w14:paraId="50CD6C0C" w14:textId="77777777" w:rsidR="00FA0307" w:rsidRPr="00AB2A12" w:rsidRDefault="00FA0307" w:rsidP="00FA0307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>4. A lógica clássica e sua relação com a lógica aristotélica (Função e conceito em Frege; O cálculo proposicional).</w:t>
            </w:r>
          </w:p>
          <w:p w14:paraId="41EF3EE4" w14:textId="73B6D7EE" w:rsidR="003372C2" w:rsidRPr="00AB2A12" w:rsidRDefault="00FA0307" w:rsidP="00FA0307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>5. Lógica e Ontologia na Filosofia de Wittgenstein.</w:t>
            </w:r>
          </w:p>
          <w:p w14:paraId="68CE6867" w14:textId="4B70D02D" w:rsidR="00D21668" w:rsidRPr="00AB2A12" w:rsidRDefault="00D21668" w:rsidP="00CA055A">
            <w:pPr>
              <w:rPr>
                <w:rFonts w:ascii="Times New Roman" w:hAnsi="Times New Roman" w:cs="Times New Roman"/>
              </w:rPr>
            </w:pPr>
          </w:p>
        </w:tc>
      </w:tr>
      <w:tr w:rsidR="003D7D73" w:rsidRPr="00AB2A12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7E9E2DC4" w:rsidR="00261EB7" w:rsidRPr="00AB2A12" w:rsidRDefault="008F537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2A12">
              <w:rPr>
                <w:rFonts w:ascii="Times New Roman" w:eastAsia="Arial" w:hAnsi="Times New Roman" w:cs="Times New Roman"/>
                <w:smallCaps/>
              </w:rPr>
              <w:lastRenderedPageBreak/>
              <w:t>Metodologia de ensino</w:t>
            </w:r>
            <w:r w:rsidR="00261EB7" w:rsidRPr="00AB2A12">
              <w:rPr>
                <w:rFonts w:ascii="Times New Roman" w:hAnsi="Times New Roman" w:cs="Times New Roman"/>
              </w:rPr>
              <w:t xml:space="preserve"> </w:t>
            </w:r>
          </w:p>
          <w:p w14:paraId="2992F9BB" w14:textId="63BDB4AD" w:rsidR="00DF1F79" w:rsidRPr="00AB2A12" w:rsidRDefault="003D7D73" w:rsidP="00043C06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B2A12">
              <w:rPr>
                <w:rFonts w:ascii="Times New Roman" w:hAnsi="Times New Roman" w:cs="Times New Roman"/>
                <w:color w:val="000000"/>
              </w:rPr>
              <w:t>Atividades Síncronas</w:t>
            </w:r>
            <w:r w:rsidR="00EB0F45" w:rsidRPr="00AB2A12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76D0E7AD" w14:textId="15EEC7A3" w:rsidR="00DF1F79" w:rsidRPr="00AB2A12" w:rsidRDefault="00DF1F79" w:rsidP="00043C06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Aulas online </w:t>
            </w:r>
            <w:r w:rsidR="00D35B6A" w:rsidRPr="00AB2A12">
              <w:rPr>
                <w:rFonts w:ascii="Times New Roman" w:hAnsi="Times New Roman" w:cs="Times New Roman"/>
                <w:b w:val="0"/>
                <w:bCs/>
              </w:rPr>
              <w:t>pela plataforma Zoom</w:t>
            </w:r>
            <w:r w:rsidR="00043C06" w:rsidRPr="00AB2A12">
              <w:rPr>
                <w:rFonts w:ascii="Times New Roman" w:hAnsi="Times New Roman" w:cs="Times New Roman"/>
                <w:b w:val="0"/>
                <w:bCs/>
              </w:rPr>
              <w:t xml:space="preserve"> às terças-feiras, 14h (Vespertino) e 19h30 (Noturno).</w:t>
            </w:r>
          </w:p>
          <w:p w14:paraId="34075108" w14:textId="77777777" w:rsidR="00043C06" w:rsidRPr="00AB2A12" w:rsidRDefault="00043C06" w:rsidP="00043C06">
            <w:pPr>
              <w:pStyle w:val="PargrafodaLista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Material instrucional, roteiros de aula e mídias disponibilizadas pela Plataforma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iCs/>
              </w:rPr>
              <w:t>Google Classroom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. Atividades discentes: leituras orientadas e seminários, relatórios de leitura e relatórios de aula. </w:t>
            </w:r>
          </w:p>
          <w:p w14:paraId="2C7634F6" w14:textId="77777777" w:rsidR="00161219" w:rsidRPr="00AB2A12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</w:rPr>
            </w:pPr>
          </w:p>
          <w:p w14:paraId="6C404C04" w14:textId="0D899AFD" w:rsidR="00DF1F79" w:rsidRPr="00AB2A12" w:rsidRDefault="00261EB7" w:rsidP="00043C06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</w:rPr>
            </w:pPr>
            <w:r w:rsidRPr="00AB2A12">
              <w:rPr>
                <w:rFonts w:ascii="Times New Roman" w:hAnsi="Times New Roman" w:cs="Times New Roman"/>
              </w:rPr>
              <w:t>Atividades Assíncronas:</w:t>
            </w:r>
          </w:p>
          <w:p w14:paraId="653D525D" w14:textId="46272C50" w:rsidR="00043C06" w:rsidRPr="00AB2A12" w:rsidRDefault="00043C06" w:rsidP="00043C06">
            <w:pPr>
              <w:pStyle w:val="PargrafodaLista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Serão propostas atividades de leitura orientada para os alunos que não disponibilizarem de acesso às aulas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iCs/>
              </w:rPr>
              <w:t>online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. </w:t>
            </w:r>
          </w:p>
          <w:p w14:paraId="0BBF562B" w14:textId="46595E3A" w:rsidR="00BE5183" w:rsidRPr="00AB2A12" w:rsidRDefault="00BE5183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</w:rPr>
            </w:pPr>
          </w:p>
          <w:p w14:paraId="6D80B028" w14:textId="4F3DF165" w:rsidR="00BE5183" w:rsidRPr="00AB2A12" w:rsidRDefault="00BE518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</w:rPr>
              <w:t>Disponibilização de Material:</w:t>
            </w:r>
          </w:p>
          <w:p w14:paraId="16628929" w14:textId="6BD46500" w:rsidR="00BE5183" w:rsidRPr="00AB2A12" w:rsidRDefault="00043C06" w:rsidP="00BE518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>Plataforma Google Classroom.</w:t>
            </w:r>
          </w:p>
          <w:p w14:paraId="10AC7CE9" w14:textId="77777777" w:rsidR="00EB0F45" w:rsidRPr="00AB2A12" w:rsidRDefault="00EB0F45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4F393EA2" w14:textId="77777777" w:rsidR="00161219" w:rsidRPr="00AB2A12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4799E7C2" w14:textId="692F1B5A" w:rsidR="00161219" w:rsidRPr="00AB2A12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7D73" w:rsidRPr="00AB2A12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46048A4" w14:textId="07E1A293" w:rsidR="008C7160" w:rsidRPr="00AB2A12" w:rsidRDefault="000B64E4" w:rsidP="0056665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2A12">
              <w:rPr>
                <w:rFonts w:ascii="Times New Roman" w:eastAsia="Arial" w:hAnsi="Times New Roman" w:cs="Times New Roman"/>
                <w:smallCaps/>
              </w:rPr>
              <w:t xml:space="preserve"> </w:t>
            </w:r>
            <w:r w:rsidR="0056665A" w:rsidRPr="00AB2A12">
              <w:rPr>
                <w:rFonts w:ascii="Times New Roman" w:eastAsia="Arial" w:hAnsi="Times New Roman" w:cs="Times New Roman"/>
                <w:smallCaps/>
              </w:rPr>
              <w:t>Avaliação:</w:t>
            </w:r>
            <w:r w:rsidR="00625CD1" w:rsidRPr="00AB2A12">
              <w:rPr>
                <w:rFonts w:ascii="Times New Roman" w:hAnsi="Times New Roman" w:cs="Times New Roman"/>
              </w:rPr>
              <w:t xml:space="preserve"> </w:t>
            </w:r>
          </w:p>
          <w:p w14:paraId="198B0881" w14:textId="77777777" w:rsidR="003D7D73" w:rsidRPr="00AB2A12" w:rsidRDefault="008C7160" w:rsidP="00261EB7">
            <w:pPr>
              <w:spacing w:before="0" w:after="0"/>
              <w:rPr>
                <w:rFonts w:ascii="Times New Roman" w:hAnsi="Times New Roman" w:cs="Times New Roman"/>
                <w:color w:val="FF0000"/>
              </w:rPr>
            </w:pPr>
            <w:r w:rsidRPr="00AB2A12">
              <w:rPr>
                <w:rFonts w:ascii="Times New Roman" w:hAnsi="Times New Roman" w:cs="Times New Roman"/>
              </w:rPr>
              <w:t>C</w:t>
            </w:r>
            <w:r w:rsidR="003D7D73" w:rsidRPr="00AB2A12">
              <w:rPr>
                <w:rFonts w:ascii="Times New Roman" w:hAnsi="Times New Roman" w:cs="Times New Roman"/>
              </w:rPr>
              <w:t>onceito final da unidade curricular</w:t>
            </w:r>
            <w:r w:rsidRPr="00AB2A12">
              <w:rPr>
                <w:rFonts w:ascii="Times New Roman" w:hAnsi="Times New Roman" w:cs="Times New Roman"/>
              </w:rPr>
              <w:t>:</w:t>
            </w:r>
            <w:r w:rsidR="003D7D73" w:rsidRPr="00AB2A12">
              <w:rPr>
                <w:rFonts w:ascii="Times New Roman" w:hAnsi="Times New Roman" w:cs="Times New Roman"/>
              </w:rPr>
              <w:t xml:space="preserve"> “cumprido/não cumprido”</w:t>
            </w:r>
          </w:p>
          <w:p w14:paraId="492585F4" w14:textId="25024DAD" w:rsidR="00DF1F79" w:rsidRPr="00AB2A12" w:rsidRDefault="00DF1F79" w:rsidP="00DF1F79">
            <w:pPr>
              <w:pStyle w:val="NormalWeb"/>
              <w:shd w:val="clear" w:color="auto" w:fill="FFFFFF"/>
            </w:pPr>
            <w:r w:rsidRPr="00AB2A12">
              <w:rPr>
                <w:sz w:val="22"/>
                <w:szCs w:val="22"/>
              </w:rPr>
              <w:t>O aluno será avaliado do seguinte modo:</w:t>
            </w:r>
            <w:r w:rsidRPr="00AB2A12">
              <w:rPr>
                <w:sz w:val="22"/>
                <w:szCs w:val="22"/>
              </w:rPr>
              <w:br/>
              <w:t>a) Participação nas atividades do ambiente de aprendizagem da disciplina.</w:t>
            </w:r>
            <w:r w:rsidRPr="00AB2A12">
              <w:rPr>
                <w:sz w:val="22"/>
                <w:szCs w:val="22"/>
              </w:rPr>
              <w:br/>
              <w:t>b) Entrega dos relatórios de leitura e de aula (a assiduidade dos relatórios será utilizada como controle complementar de frequência).</w:t>
            </w:r>
            <w:r w:rsidRPr="00AB2A12">
              <w:rPr>
                <w:sz w:val="22"/>
                <w:szCs w:val="22"/>
              </w:rPr>
              <w:br/>
              <w:t xml:space="preserve">c) Trabalhos dissertativos. </w:t>
            </w:r>
          </w:p>
          <w:p w14:paraId="3F90CBAA" w14:textId="77777777" w:rsidR="00DF1F79" w:rsidRPr="00AB2A12" w:rsidRDefault="00DF1F79" w:rsidP="00DF1F79">
            <w:pPr>
              <w:pStyle w:val="NormalWeb"/>
              <w:shd w:val="clear" w:color="auto" w:fill="FFFFFF"/>
            </w:pPr>
            <w:r w:rsidRPr="00AB2A12">
              <w:rPr>
                <w:sz w:val="22"/>
                <w:szCs w:val="22"/>
              </w:rPr>
              <w:t xml:space="preserve">Relatórios, seminários e trabalhos escritos. </w:t>
            </w:r>
          </w:p>
          <w:p w14:paraId="5E12AA18" w14:textId="77777777" w:rsidR="00261EB7" w:rsidRPr="00AB2A12" w:rsidRDefault="00261EB7" w:rsidP="00261EB7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7B181DBA" w14:textId="51C5A9F6" w:rsidR="004905F2" w:rsidRPr="00AB2A12" w:rsidRDefault="004905F2" w:rsidP="00261EB7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D7D73" w:rsidRPr="00AB2A12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EA835F9" w14:textId="058E8B4B" w:rsidR="003372C2" w:rsidRPr="00AB2A12" w:rsidRDefault="0056665A" w:rsidP="00D35B6A">
            <w:pPr>
              <w:jc w:val="both"/>
              <w:rPr>
                <w:rFonts w:ascii="Times New Roman" w:eastAsia="Arial" w:hAnsi="Times New Roman" w:cs="Times New Roman"/>
              </w:rPr>
            </w:pPr>
            <w:r w:rsidRPr="00AB2A12">
              <w:rPr>
                <w:rFonts w:ascii="Times New Roman" w:eastAsia="Arial" w:hAnsi="Times New Roman" w:cs="Times New Roman"/>
                <w:smallCaps/>
              </w:rPr>
              <w:t>Bibliografia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338AB2BC" w14:textId="77777777" w:rsidR="00D35B6A" w:rsidRPr="00AB2A12" w:rsidRDefault="00D35B6A" w:rsidP="00D35B6A">
            <w:pPr>
              <w:pStyle w:val="Ttulo1"/>
              <w:spacing w:before="320" w:after="0"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2A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Básica</w:t>
            </w:r>
          </w:p>
          <w:p w14:paraId="6AF7B4EE" w14:textId="77777777" w:rsidR="00D35B6A" w:rsidRPr="00AB2A12" w:rsidRDefault="00D35B6A" w:rsidP="00D35B6A">
            <w:pPr>
              <w:ind w:left="540" w:hanging="540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ANGIONI, Lucas.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</w:rPr>
              <w:t>Introdução à Teoria da Predicação em Aristóteles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>, Campinas: Editora da Unicamp, 2005.</w:t>
            </w:r>
          </w:p>
          <w:p w14:paraId="3BE4F81C" w14:textId="77777777" w:rsidR="00D35B6A" w:rsidRPr="00AB2A12" w:rsidRDefault="00D35B6A" w:rsidP="00D35B6A">
            <w:pPr>
              <w:ind w:left="540" w:hanging="540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ARISTÓTELES.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</w:rPr>
              <w:t>Organon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>. Lisboa: Editora Guimarães, 1986.</w:t>
            </w:r>
          </w:p>
          <w:p w14:paraId="5A0F2881" w14:textId="77777777" w:rsidR="00D35B6A" w:rsidRPr="00AB2A12" w:rsidRDefault="00D35B6A" w:rsidP="00D35B6A">
            <w:pPr>
              <w:ind w:left="540" w:hanging="540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FREGE, G.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</w:rPr>
              <w:t>Lógica e Filosofia da Linguagem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>. São Paulo, 1978.</w:t>
            </w:r>
          </w:p>
          <w:p w14:paraId="1291D101" w14:textId="77777777" w:rsidR="00D35B6A" w:rsidRPr="00AB2A12" w:rsidRDefault="00D35B6A" w:rsidP="00D35B6A">
            <w:pPr>
              <w:ind w:left="540" w:hanging="540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HAACK, Susan.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</w:rPr>
              <w:t>Filosofia das Lógicas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>. São Paulo: Editora UNESP, 2002.</w:t>
            </w:r>
          </w:p>
          <w:p w14:paraId="7F0BDBAA" w14:textId="77777777" w:rsidR="00D35B6A" w:rsidRPr="00AB2A12" w:rsidRDefault="00D35B6A" w:rsidP="00D35B6A">
            <w:pPr>
              <w:tabs>
                <w:tab w:val="left" w:pos="374"/>
              </w:tabs>
              <w:ind w:left="284" w:hanging="284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KANT, I. -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</w:rPr>
              <w:t>Crítica da Razão Pura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, Abril Cultural (Col.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</w:rPr>
              <w:t>Os Pensadores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>), São Paulo, 1980.</w:t>
            </w:r>
          </w:p>
          <w:p w14:paraId="04F713D4" w14:textId="77777777" w:rsidR="00D35B6A" w:rsidRPr="00AB2A12" w:rsidRDefault="00D35B6A" w:rsidP="00D35B6A">
            <w:pPr>
              <w:ind w:left="284" w:hanging="284"/>
              <w:rPr>
                <w:rFonts w:ascii="Times New Roman" w:eastAsia="Calibri" w:hAnsi="Times New Roman" w:cs="Times New Roman"/>
                <w:b w:val="0"/>
                <w:bCs/>
                <w:lang w:val="fr-FR"/>
              </w:rPr>
            </w:pPr>
            <w:r w:rsidRPr="00AB2A12">
              <w:rPr>
                <w:rFonts w:ascii="Times New Roman" w:eastAsia="Calibri" w:hAnsi="Times New Roman" w:cs="Times New Roman"/>
                <w:b w:val="0"/>
                <w:bCs/>
                <w:lang w:val="fr-FR"/>
              </w:rPr>
              <w:t xml:space="preserve">NIETZSCHE, F. </w:t>
            </w:r>
            <w:r w:rsidRPr="00AB2A12">
              <w:rPr>
                <w:rFonts w:ascii="Times New Roman" w:eastAsia="Calibri" w:hAnsi="Times New Roman" w:cs="Times New Roman"/>
                <w:b w:val="0"/>
                <w:bCs/>
                <w:i/>
                <w:lang w:val="fr-FR"/>
              </w:rPr>
              <w:t>Sobre a verdade e a mentira no sentido extra-moral</w:t>
            </w:r>
            <w:r w:rsidRPr="00AB2A12">
              <w:rPr>
                <w:rFonts w:ascii="Times New Roman" w:eastAsia="Calibri" w:hAnsi="Times New Roman" w:cs="Times New Roman"/>
                <w:b w:val="0"/>
                <w:bCs/>
                <w:lang w:val="fr-FR"/>
              </w:rPr>
              <w:t>. São Paulo, Ed. Abril (Col. Os Pensadores), 1978.</w:t>
            </w:r>
          </w:p>
          <w:p w14:paraId="15C0644A" w14:textId="77777777" w:rsidR="00D35B6A" w:rsidRPr="00AB2A12" w:rsidRDefault="00D35B6A" w:rsidP="00D35B6A">
            <w:pPr>
              <w:ind w:left="284" w:hanging="284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  <w:caps/>
              </w:rPr>
              <w:lastRenderedPageBreak/>
              <w:t>Nietzsche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, Friedrich.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</w:rPr>
              <w:t>Além do bem e do mal: Prelúdio a uma filosofia do futuro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. 2nd ed. São Paulo: Companhia das Letras, 1996. </w:t>
            </w:r>
          </w:p>
          <w:p w14:paraId="10D42E2C" w14:textId="77777777" w:rsidR="00D35B6A" w:rsidRPr="00AB2A12" w:rsidRDefault="00D35B6A" w:rsidP="00D35B6A">
            <w:pPr>
              <w:ind w:left="540" w:hanging="540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PLATÃO.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</w:rPr>
              <w:t>Sofista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. São Paulo: Ed. Abril (Col.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</w:rPr>
              <w:t>Os Pensadores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>), 1975.</w:t>
            </w:r>
          </w:p>
          <w:p w14:paraId="36FC05CF" w14:textId="77777777" w:rsidR="00D35B6A" w:rsidRPr="00AB2A12" w:rsidRDefault="00D35B6A" w:rsidP="00D35B6A">
            <w:pPr>
              <w:ind w:left="540" w:hanging="540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PLATÃO.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</w:rPr>
              <w:t>Teeteto-Crátilo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>. Trad. de Carlos Alberto Nunes. Belém, Universidade federal do Pará, 1996.</w:t>
            </w:r>
          </w:p>
          <w:p w14:paraId="7D779609" w14:textId="77777777" w:rsidR="00D35B6A" w:rsidRPr="00AB2A12" w:rsidRDefault="00D35B6A" w:rsidP="00D35B6A">
            <w:pPr>
              <w:ind w:left="540" w:hanging="540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WITTGENSTEIN, L.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iCs/>
              </w:rPr>
              <w:t>Investigações Filosóficas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. São Paulo: Ed. </w:t>
            </w: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>Abril, 1978.</w:t>
            </w:r>
          </w:p>
          <w:p w14:paraId="6FC3CE2E" w14:textId="77777777" w:rsidR="00D35B6A" w:rsidRPr="00AB2A12" w:rsidRDefault="00D35B6A" w:rsidP="00D35B6A">
            <w:pPr>
              <w:ind w:left="540" w:hanging="540"/>
              <w:jc w:val="both"/>
              <w:rPr>
                <w:rFonts w:ascii="Times New Roman" w:hAnsi="Times New Roman" w:cs="Times New Roman"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WITTGENSTEIN, L.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Tractatus logico-philosophicus</w:t>
            </w: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. 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São Paulo, Edusp, 1995. </w:t>
            </w:r>
          </w:p>
          <w:p w14:paraId="45C99EBD" w14:textId="77777777" w:rsidR="00D35B6A" w:rsidRPr="00AB2A12" w:rsidRDefault="00D35B6A" w:rsidP="00D35B6A">
            <w:pPr>
              <w:pStyle w:val="Ttulo1"/>
              <w:spacing w:before="320" w:after="0" w:line="360" w:lineRule="auto"/>
              <w:ind w:left="540" w:hanging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2A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Complementar</w:t>
            </w:r>
          </w:p>
          <w:p w14:paraId="62DBA561" w14:textId="77777777" w:rsidR="00D35B6A" w:rsidRPr="00AB2A12" w:rsidRDefault="00D35B6A" w:rsidP="00D35B6A">
            <w:pPr>
              <w:ind w:left="540" w:hanging="540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ARISTÓTELES.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</w:rPr>
              <w:t>Metafísica IV e VI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, trad. de Lucas Angioni. </w:t>
            </w: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>Campinas: IFCH, 2001.</w:t>
            </w:r>
          </w:p>
          <w:p w14:paraId="1F646996" w14:textId="77BD34F5" w:rsidR="00D35B6A" w:rsidRPr="00AB2A12" w:rsidRDefault="00D35B6A" w:rsidP="00D35B6A">
            <w:pPr>
              <w:tabs>
                <w:tab w:val="left" w:pos="374"/>
              </w:tabs>
              <w:ind w:left="540" w:hanging="540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ARISTOTLE.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Categories, On Interpretation</w:t>
            </w: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, Greek text and English translation by H. P. Cook,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Prior Analytics</w:t>
            </w: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>, Greek text and English translation by Hugh Tredennick, The Loeb Classical Library (v. 325), Harvard University Press, 1996.</w:t>
            </w:r>
          </w:p>
          <w:p w14:paraId="6A334FD2" w14:textId="5ABC0362" w:rsidR="00D35B6A" w:rsidRPr="00AB2A12" w:rsidRDefault="00D35B6A" w:rsidP="00D35B6A">
            <w:pPr>
              <w:tabs>
                <w:tab w:val="left" w:pos="374"/>
              </w:tabs>
              <w:ind w:left="540" w:hanging="540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ARISTOTLE.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Metaphysics</w:t>
            </w: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, books I-IX, Greek text and English translation by Hugh Tredennick, The Loeb Classical Library (v. 271), Harvard University Press, 1996. </w:t>
            </w:r>
          </w:p>
          <w:p w14:paraId="4D8A0B32" w14:textId="561B6043" w:rsidR="00D35B6A" w:rsidRPr="00AB2A12" w:rsidRDefault="00D35B6A" w:rsidP="00D35B6A">
            <w:pPr>
              <w:tabs>
                <w:tab w:val="left" w:pos="374"/>
              </w:tabs>
              <w:ind w:left="540" w:hanging="540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ARISTOTLE.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Posterior Analytics</w:t>
            </w: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, Greek text and English translation by Hugh Tredennick,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Topica</w:t>
            </w: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, Greek text and English translation by E. S. Foster, The Loeb Classical Library (v. 391), Harvard University Press, 1996. </w:t>
            </w:r>
          </w:p>
          <w:p w14:paraId="43DC6A2F" w14:textId="77777777" w:rsidR="00D35B6A" w:rsidRPr="00AB2A12" w:rsidRDefault="00D35B6A" w:rsidP="00D35B6A">
            <w:pPr>
              <w:ind w:left="540" w:hanging="540"/>
              <w:rPr>
                <w:rFonts w:ascii="Times New Roman" w:hAnsi="Times New Roman" w:cs="Times New Roman"/>
                <w:b w:val="0"/>
                <w:bCs/>
                <w:lang w:val="fr-FR"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  <w:lang w:val="fr-FR"/>
              </w:rPr>
              <w:t xml:space="preserve">AUBENQUE, P.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lang w:val="fr-FR"/>
              </w:rPr>
              <w:t>Le problème de l’être chez Aristote</w:t>
            </w:r>
            <w:r w:rsidRPr="00AB2A12">
              <w:rPr>
                <w:rFonts w:ascii="Times New Roman" w:hAnsi="Times New Roman" w:cs="Times New Roman"/>
                <w:b w:val="0"/>
                <w:bCs/>
                <w:lang w:val="fr-FR"/>
              </w:rPr>
              <w:t>, Paris, Presses Universitaires de France, 1962</w:t>
            </w:r>
          </w:p>
          <w:p w14:paraId="79E271ED" w14:textId="77777777" w:rsidR="00D35B6A" w:rsidRPr="00AB2A12" w:rsidRDefault="00D35B6A" w:rsidP="00D35B6A">
            <w:pPr>
              <w:ind w:left="540" w:hanging="540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  <w:lang w:val="fr-FR"/>
              </w:rPr>
              <w:t xml:space="preserve">AUBENQUE, Pierre (dir.).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lang w:val="fr-FR"/>
              </w:rPr>
              <w:t>Concepts et catégories dans la pensée antique</w:t>
            </w:r>
            <w:r w:rsidRPr="00AB2A12">
              <w:rPr>
                <w:rFonts w:ascii="Times New Roman" w:hAnsi="Times New Roman" w:cs="Times New Roman"/>
                <w:b w:val="0"/>
                <w:bCs/>
                <w:lang w:val="fr-FR"/>
              </w:rPr>
              <w:t xml:space="preserve">. 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>Paris: VRIN, 1980.</w:t>
            </w:r>
          </w:p>
          <w:p w14:paraId="7F397DAA" w14:textId="77777777" w:rsidR="00D35B6A" w:rsidRPr="00AB2A12" w:rsidRDefault="00D35B6A" w:rsidP="00D35B6A">
            <w:pPr>
              <w:ind w:left="540" w:hanging="540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CASSIN, Bárbara.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</w:rPr>
              <w:t>O efeito sofístico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>. São Paulo: editora 34, 2005.</w:t>
            </w:r>
          </w:p>
          <w:p w14:paraId="5B96EA9A" w14:textId="77777777" w:rsidR="00D35B6A" w:rsidRPr="00AB2A12" w:rsidRDefault="00D35B6A" w:rsidP="00D35B6A">
            <w:pPr>
              <w:ind w:left="540" w:hanging="540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FINE, Gail (ed.),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Plato - Vol. 1: Metaphysics and Epistemology</w:t>
            </w: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. Oxford: Oxford University Press, 1999. </w:t>
            </w:r>
          </w:p>
          <w:p w14:paraId="47B2FBEC" w14:textId="77777777" w:rsidR="00D35B6A" w:rsidRPr="00AB2A12" w:rsidRDefault="00D35B6A" w:rsidP="00D35B6A">
            <w:pPr>
              <w:ind w:left="540" w:hanging="540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FREGE, G.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Translations from the Philosophical Writings of Gottloh Frege</w:t>
            </w: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>, ed. and trans, by P. Geach and M. Black, second revised ed. Oxford and New York: 1960.</w:t>
            </w:r>
          </w:p>
          <w:p w14:paraId="38776EBE" w14:textId="77777777" w:rsidR="00D35B6A" w:rsidRPr="00AB2A12" w:rsidRDefault="00D35B6A" w:rsidP="00D35B6A">
            <w:pPr>
              <w:tabs>
                <w:tab w:val="left" w:pos="374"/>
              </w:tabs>
              <w:ind w:left="540" w:hanging="540"/>
              <w:jc w:val="both"/>
              <w:rPr>
                <w:rFonts w:ascii="Times New Roman" w:hAnsi="Times New Roman" w:cs="Times New Roman"/>
                <w:b w:val="0"/>
                <w:bCs/>
                <w:lang w:val="fr-FR"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  <w:lang w:val="fr-FR"/>
              </w:rPr>
              <w:t xml:space="preserve">GOLDSCHIMIDT, V.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iCs/>
                <w:lang w:val="fr-FR"/>
              </w:rPr>
              <w:t>Les dialogues de Platon</w:t>
            </w:r>
            <w:r w:rsidRPr="00AB2A12">
              <w:rPr>
                <w:rFonts w:ascii="Times New Roman" w:hAnsi="Times New Roman" w:cs="Times New Roman"/>
                <w:b w:val="0"/>
                <w:bCs/>
                <w:lang w:val="fr-FR"/>
              </w:rPr>
              <w:t>. 5</w:t>
            </w:r>
            <w:r w:rsidRPr="00AB2A12">
              <w:rPr>
                <w:rFonts w:ascii="Times New Roman" w:hAnsi="Times New Roman" w:cs="Times New Roman"/>
                <w:b w:val="0"/>
                <w:bCs/>
                <w:vertAlign w:val="superscript"/>
                <w:lang w:val="fr-FR"/>
              </w:rPr>
              <w:t>a</w:t>
            </w:r>
            <w:r w:rsidRPr="00AB2A12">
              <w:rPr>
                <w:rFonts w:ascii="Times New Roman" w:hAnsi="Times New Roman" w:cs="Times New Roman"/>
                <w:b w:val="0"/>
                <w:bCs/>
                <w:lang w:val="fr-FR"/>
              </w:rPr>
              <w:t xml:space="preserve"> ed. Paris : PUF, 1993. </w:t>
            </w:r>
          </w:p>
          <w:p w14:paraId="58E038FA" w14:textId="77777777" w:rsidR="00D35B6A" w:rsidRPr="00AB2A12" w:rsidRDefault="00D35B6A" w:rsidP="00D35B6A">
            <w:pPr>
              <w:ind w:left="540" w:hanging="540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GÓRGIAS.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</w:rPr>
              <w:t>Tratado do não-ente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>. Cadernos de Tradução. n. 4, São Paulo: USP, 1999</w:t>
            </w:r>
          </w:p>
          <w:p w14:paraId="2CF6B360" w14:textId="77777777" w:rsidR="00D35B6A" w:rsidRPr="00AB2A12" w:rsidRDefault="00D35B6A" w:rsidP="00D35B6A">
            <w:pPr>
              <w:ind w:left="540" w:hanging="540"/>
              <w:rPr>
                <w:rFonts w:ascii="Times New Roman" w:hAnsi="Times New Roman" w:cs="Times New Roman"/>
                <w:b w:val="0"/>
                <w:bCs/>
                <w:lang w:val="fr-FR"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  <w:lang w:val="fr-FR"/>
              </w:rPr>
              <w:t xml:space="preserve">IMBERT, Claude.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lang w:val="fr-FR"/>
              </w:rPr>
              <w:t>Pour une histoire de la logique</w:t>
            </w:r>
            <w:r w:rsidRPr="00AB2A12">
              <w:rPr>
                <w:rFonts w:ascii="Times New Roman" w:hAnsi="Times New Roman" w:cs="Times New Roman"/>
                <w:b w:val="0"/>
                <w:bCs/>
                <w:lang w:val="fr-FR"/>
              </w:rPr>
              <w:t>. Un héritage platonicien. Paris: PUF, 1999.</w:t>
            </w:r>
          </w:p>
          <w:p w14:paraId="0F4C3A93" w14:textId="77777777" w:rsidR="00D35B6A" w:rsidRPr="00AB2A12" w:rsidRDefault="00D35B6A" w:rsidP="00D35B6A">
            <w:pPr>
              <w:ind w:left="540" w:hanging="540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KNEALE, W. &amp; KNEALE, M.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</w:rPr>
              <w:t>O desenvolvimento da lógica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. </w:t>
            </w: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>Lisboa: Caloustre Gulbenkian, 1972.</w:t>
            </w:r>
          </w:p>
          <w:p w14:paraId="7A6FE4ED" w14:textId="77777777" w:rsidR="00D35B6A" w:rsidRPr="00AB2A12" w:rsidRDefault="00D35B6A" w:rsidP="00D35B6A">
            <w:pPr>
              <w:tabs>
                <w:tab w:val="left" w:pos="374"/>
              </w:tabs>
              <w:ind w:left="540" w:hanging="540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PLATO.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Cratylus, Parmenides, Greater Hippias and Lesser Hippias</w:t>
            </w: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>. Translated by H. N. Fowler. Loeb Classical Library. (v. 167), Harvard University Press. 1977.</w:t>
            </w:r>
          </w:p>
          <w:p w14:paraId="31AE5BE6" w14:textId="77777777" w:rsidR="00D35B6A" w:rsidRPr="00AB2A12" w:rsidRDefault="00D35B6A" w:rsidP="00D35B6A">
            <w:pPr>
              <w:tabs>
                <w:tab w:val="left" w:pos="374"/>
              </w:tabs>
              <w:ind w:left="540" w:hanging="540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PLATO.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Theatetus, Sophist</w:t>
            </w: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>. Translated by H. N. Fowler. Loeb Classical Library. (v. 123). Harvard University Press. 1987.</w:t>
            </w:r>
          </w:p>
          <w:p w14:paraId="09084D84" w14:textId="77777777" w:rsidR="00D35B6A" w:rsidRPr="00AB2A12" w:rsidRDefault="00D35B6A" w:rsidP="00D35B6A">
            <w:pPr>
              <w:tabs>
                <w:tab w:val="left" w:pos="374"/>
              </w:tabs>
              <w:ind w:left="540" w:hanging="540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RYLE, G.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Plato’s Progress</w:t>
            </w: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>. England: Thoemmes Press, 1994.</w:t>
            </w:r>
          </w:p>
          <w:p w14:paraId="1E9274F5" w14:textId="77777777" w:rsidR="00D35B6A" w:rsidRPr="00AB2A12" w:rsidRDefault="00D35B6A" w:rsidP="00D35B6A">
            <w:pPr>
              <w:tabs>
                <w:tab w:val="left" w:pos="374"/>
              </w:tabs>
              <w:ind w:left="540" w:hanging="540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SALMON, W.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Lógica</w:t>
            </w: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. 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>9a ed. Rio de Janeiro: Zahar, 2001.</w:t>
            </w:r>
          </w:p>
          <w:p w14:paraId="739D90BA" w14:textId="77777777" w:rsidR="00D35B6A" w:rsidRPr="00AB2A12" w:rsidRDefault="00D35B6A" w:rsidP="00D35B6A">
            <w:pPr>
              <w:ind w:left="540" w:hanging="540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  <w:lang w:val="fr-FR"/>
              </w:rPr>
              <w:t xml:space="preserve">SOULEZ, Antonia.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lang w:val="fr-FR"/>
              </w:rPr>
              <w:t>La grammaire philosophique chez Platon</w:t>
            </w:r>
            <w:r w:rsidRPr="00AB2A12">
              <w:rPr>
                <w:rFonts w:ascii="Times New Roman" w:hAnsi="Times New Roman" w:cs="Times New Roman"/>
                <w:b w:val="0"/>
                <w:bCs/>
                <w:lang w:val="fr-FR"/>
              </w:rPr>
              <w:t xml:space="preserve">. </w:t>
            </w: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>Paris: P.U.F., 1991.</w:t>
            </w:r>
          </w:p>
          <w:p w14:paraId="7EC61279" w14:textId="77777777" w:rsidR="00D35B6A" w:rsidRPr="00AB2A12" w:rsidRDefault="00D35B6A" w:rsidP="00D35B6A">
            <w:pPr>
              <w:ind w:left="540" w:hanging="540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SPRAGE, Rosamond Kent (ed.).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The Older Sophists</w:t>
            </w: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>. Columbia: South Carolina UP, 1972.</w:t>
            </w:r>
          </w:p>
          <w:p w14:paraId="0FBFA32C" w14:textId="77777777" w:rsidR="00D35B6A" w:rsidRPr="00AB2A12" w:rsidRDefault="00D35B6A" w:rsidP="00D35B6A">
            <w:pPr>
              <w:ind w:left="540" w:hanging="540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TARSKI, A.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iCs/>
                <w:lang w:val="en-US"/>
              </w:rPr>
              <w:t>Introduction to Logic</w:t>
            </w: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. 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>New York: Dover, 1961.</w:t>
            </w:r>
          </w:p>
          <w:p w14:paraId="192CB014" w14:textId="4882805B" w:rsidR="008A4B9F" w:rsidRPr="00AB2A12" w:rsidRDefault="00D35B6A" w:rsidP="00D35B6A">
            <w:pPr>
              <w:ind w:left="540" w:hanging="540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>TUGENDHAT, E. e WOLF, U. 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</w:rPr>
              <w:t>Propedêutica lógico-semântica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>. Rio de Janeiro: Vozes, 1997.</w:t>
            </w:r>
          </w:p>
          <w:p w14:paraId="57CD737E" w14:textId="7FD49D82" w:rsidR="008A4B9F" w:rsidRPr="00AB2A12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1AAB8448" w14:textId="40FE81F7" w:rsidR="008A4B9F" w:rsidRPr="00AB2A12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7ECCC954" w14:textId="77777777" w:rsidR="008A4B9F" w:rsidRPr="00AB2A12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540E01D9" w14:textId="714560D8" w:rsidR="0057043E" w:rsidRPr="00AB2A12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A46BD6" w:rsidRPr="00AB2A12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AB2A12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B2A12">
              <w:rPr>
                <w:rFonts w:ascii="Times New Roman" w:eastAsia="Arial" w:hAnsi="Times New Roman" w:cs="Times New Roman"/>
                <w:smallCaps/>
              </w:rPr>
              <w:lastRenderedPageBreak/>
              <w:t>Docentes participantes</w:t>
            </w:r>
          </w:p>
        </w:tc>
      </w:tr>
      <w:tr w:rsidR="00A46BD6" w:rsidRPr="00AB2A12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AB2A12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B2A12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AB2A12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B2A12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AB2A12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B2A12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AB2A12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B2A12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AB2A12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B2A12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AB2A12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23C28057" w:rsidR="00A46BD6" w:rsidRPr="00AB2A12" w:rsidRDefault="00D35B6A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B2A12">
              <w:rPr>
                <w:rFonts w:ascii="Times New Roman" w:eastAsia="Arial" w:hAnsi="Times New Roman" w:cs="Times New Roman"/>
                <w:sz w:val="20"/>
                <w:szCs w:val="20"/>
              </w:rPr>
              <w:t>Marcelo Carvalho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AB2A12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B2A12"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01142754" w:rsidR="00A46BD6" w:rsidRPr="00AB2A12" w:rsidRDefault="00D35B6A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B2A12">
              <w:rPr>
                <w:rFonts w:ascii="Times New Roman" w:eastAsia="Arial" w:hAnsi="Times New Roman" w:cs="Times New Roman"/>
                <w:sz w:val="20"/>
                <w:szCs w:val="20"/>
              </w:rPr>
              <w:t>Doutor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AB2A12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B2A12"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AB2A12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B2A12"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  <w:tr w:rsidR="00A46BD6" w:rsidRPr="00AB2A12" w14:paraId="399B1C22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6BDC2BF4" w14:textId="77777777" w:rsidR="00A46BD6" w:rsidRPr="00AB2A12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88F12D8" w14:textId="77777777" w:rsidR="00A46BD6" w:rsidRPr="00AB2A12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23D2D531" w14:textId="77777777" w:rsidR="00A46BD6" w:rsidRPr="00AB2A12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6A4981DB" w14:textId="77777777" w:rsidR="00A46BD6" w:rsidRPr="00AB2A12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1078C39" w14:textId="77777777" w:rsidR="00A46BD6" w:rsidRPr="00AB2A12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2717D10A" w14:textId="45963385" w:rsidR="008F2271" w:rsidRPr="00AB2A12" w:rsidRDefault="008F2271" w:rsidP="003D7D73">
      <w:pPr>
        <w:rPr>
          <w:rFonts w:ascii="Times New Roman" w:hAnsi="Times New Roman" w:cs="Times New Roman"/>
          <w:sz w:val="24"/>
          <w:szCs w:val="24"/>
        </w:rPr>
      </w:pPr>
    </w:p>
    <w:p w14:paraId="2E435E11" w14:textId="77777777" w:rsidR="008A4B9F" w:rsidRPr="00AB2A12" w:rsidRDefault="008A4B9F" w:rsidP="003D7D73">
      <w:pPr>
        <w:rPr>
          <w:rFonts w:ascii="Times New Roman" w:hAnsi="Times New Roman" w:cs="Times New Roman"/>
          <w:sz w:val="24"/>
          <w:szCs w:val="24"/>
        </w:rPr>
      </w:pPr>
    </w:p>
    <w:p w14:paraId="04272FBF" w14:textId="77777777" w:rsidR="000C14BA" w:rsidRPr="00AB2A12" w:rsidRDefault="000C14BA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22D7BF" w14:textId="684A4432" w:rsidR="00A648B6" w:rsidRPr="00AB2A12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A12">
        <w:rPr>
          <w:rFonts w:ascii="Times New Roman" w:hAnsi="Times New Roman" w:cs="Times New Roman"/>
          <w:sz w:val="28"/>
          <w:szCs w:val="28"/>
        </w:rPr>
        <w:t>Cronograma</w:t>
      </w:r>
    </w:p>
    <w:p w14:paraId="3B9D657F" w14:textId="0F1CAC4C" w:rsidR="0056663E" w:rsidRPr="00AB2A12" w:rsidRDefault="0056663E" w:rsidP="00A648B6">
      <w:pPr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3DED81B7" w14:textId="4E8C239D" w:rsidR="00B67965" w:rsidRPr="00AB2A12" w:rsidRDefault="008350DD" w:rsidP="00717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A12">
        <w:rPr>
          <w:rFonts w:ascii="Times New Roman" w:hAnsi="Times New Roman" w:cs="Times New Roman"/>
          <w:sz w:val="28"/>
          <w:szCs w:val="28"/>
        </w:rPr>
        <w:t>D</w:t>
      </w:r>
      <w:r w:rsidR="00717F4C" w:rsidRPr="00AB2A12">
        <w:rPr>
          <w:rFonts w:ascii="Times New Roman" w:hAnsi="Times New Roman" w:cs="Times New Roman"/>
          <w:sz w:val="28"/>
          <w:szCs w:val="28"/>
        </w:rPr>
        <w:t xml:space="preserve">e </w:t>
      </w:r>
      <w:r w:rsidR="00860FBC">
        <w:rPr>
          <w:rFonts w:ascii="Times New Roman" w:hAnsi="Times New Roman" w:cs="Times New Roman"/>
          <w:sz w:val="28"/>
          <w:szCs w:val="28"/>
        </w:rPr>
        <w:t>04</w:t>
      </w:r>
      <w:r w:rsidR="00862D08" w:rsidRPr="00AB2A12">
        <w:rPr>
          <w:rFonts w:ascii="Times New Roman" w:hAnsi="Times New Roman" w:cs="Times New Roman"/>
          <w:sz w:val="28"/>
          <w:szCs w:val="28"/>
        </w:rPr>
        <w:t>/1</w:t>
      </w:r>
      <w:r w:rsidR="00860FBC">
        <w:rPr>
          <w:rFonts w:ascii="Times New Roman" w:hAnsi="Times New Roman" w:cs="Times New Roman"/>
          <w:sz w:val="28"/>
          <w:szCs w:val="28"/>
        </w:rPr>
        <w:t>0</w:t>
      </w:r>
      <w:r w:rsidR="00BE72A6" w:rsidRPr="00AB2A12">
        <w:rPr>
          <w:rFonts w:ascii="Times New Roman" w:hAnsi="Times New Roman" w:cs="Times New Roman"/>
          <w:sz w:val="28"/>
          <w:szCs w:val="28"/>
        </w:rPr>
        <w:t>/202</w:t>
      </w:r>
      <w:r w:rsidR="00860FBC">
        <w:rPr>
          <w:rFonts w:ascii="Times New Roman" w:hAnsi="Times New Roman" w:cs="Times New Roman"/>
          <w:sz w:val="28"/>
          <w:szCs w:val="28"/>
        </w:rPr>
        <w:t>1</w:t>
      </w:r>
      <w:r w:rsidR="00717F4C" w:rsidRPr="00AB2A12">
        <w:rPr>
          <w:rFonts w:ascii="Times New Roman" w:hAnsi="Times New Roman" w:cs="Times New Roman"/>
          <w:sz w:val="28"/>
          <w:szCs w:val="28"/>
        </w:rPr>
        <w:t xml:space="preserve"> a </w:t>
      </w:r>
      <w:r w:rsidR="00860FBC">
        <w:rPr>
          <w:rFonts w:ascii="Times New Roman" w:hAnsi="Times New Roman" w:cs="Times New Roman"/>
          <w:sz w:val="28"/>
          <w:szCs w:val="28"/>
        </w:rPr>
        <w:t>15</w:t>
      </w:r>
      <w:r w:rsidR="00862D08" w:rsidRPr="00AB2A12">
        <w:rPr>
          <w:rFonts w:ascii="Times New Roman" w:hAnsi="Times New Roman" w:cs="Times New Roman"/>
          <w:sz w:val="28"/>
          <w:szCs w:val="28"/>
        </w:rPr>
        <w:t>/0</w:t>
      </w:r>
      <w:r w:rsidR="00860FBC">
        <w:rPr>
          <w:rFonts w:ascii="Times New Roman" w:hAnsi="Times New Roman" w:cs="Times New Roman"/>
          <w:sz w:val="28"/>
          <w:szCs w:val="28"/>
        </w:rPr>
        <w:t>2</w:t>
      </w:r>
      <w:r w:rsidR="00BE72A6" w:rsidRPr="00AB2A12">
        <w:rPr>
          <w:rFonts w:ascii="Times New Roman" w:hAnsi="Times New Roman" w:cs="Times New Roman"/>
          <w:sz w:val="28"/>
          <w:szCs w:val="28"/>
        </w:rPr>
        <w:t>/</w:t>
      </w:r>
      <w:r w:rsidR="00717F4C" w:rsidRPr="00AB2A12">
        <w:rPr>
          <w:rFonts w:ascii="Times New Roman" w:hAnsi="Times New Roman" w:cs="Times New Roman"/>
          <w:sz w:val="28"/>
          <w:szCs w:val="28"/>
        </w:rPr>
        <w:t>202</w:t>
      </w:r>
      <w:r w:rsidR="00860FBC">
        <w:rPr>
          <w:rFonts w:ascii="Times New Roman" w:hAnsi="Times New Roman" w:cs="Times New Roman"/>
          <w:sz w:val="28"/>
          <w:szCs w:val="28"/>
        </w:rPr>
        <w:t>2</w:t>
      </w:r>
      <w:r w:rsidR="00BE72A6" w:rsidRPr="00AB2A12">
        <w:rPr>
          <w:rFonts w:ascii="Times New Roman" w:hAnsi="Times New Roman" w:cs="Times New Roman"/>
          <w:sz w:val="28"/>
          <w:szCs w:val="28"/>
        </w:rPr>
        <w:t xml:space="preserve"> (Recesso 23/12/20 a 0</w:t>
      </w:r>
      <w:r w:rsidR="00860FBC">
        <w:rPr>
          <w:rFonts w:ascii="Times New Roman" w:hAnsi="Times New Roman" w:cs="Times New Roman"/>
          <w:sz w:val="28"/>
          <w:szCs w:val="28"/>
        </w:rPr>
        <w:t>2</w:t>
      </w:r>
      <w:r w:rsidR="00BE72A6" w:rsidRPr="00AB2A12">
        <w:rPr>
          <w:rFonts w:ascii="Times New Roman" w:hAnsi="Times New Roman" w:cs="Times New Roman"/>
          <w:sz w:val="28"/>
          <w:szCs w:val="28"/>
        </w:rPr>
        <w:t>/01/2021)</w:t>
      </w:r>
    </w:p>
    <w:p w14:paraId="70685484" w14:textId="612F0C9C" w:rsidR="008A4B9F" w:rsidRPr="00AB2A12" w:rsidRDefault="004851C0" w:rsidP="00717F4C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AB2A12">
        <w:rPr>
          <w:rFonts w:ascii="Times New Roman" w:hAnsi="Times New Roman" w:cs="Times New Roman"/>
          <w:color w:val="C00000"/>
          <w:sz w:val="28"/>
          <w:szCs w:val="28"/>
        </w:rPr>
        <w:t>(</w:t>
      </w:r>
      <w:r w:rsidRPr="00AB2A12">
        <w:rPr>
          <w:rFonts w:ascii="Times New Roman" w:hAnsi="Times New Roman" w:cs="Times New Roman"/>
          <w:b w:val="0"/>
          <w:bCs/>
          <w:color w:val="C00000"/>
          <w:sz w:val="28"/>
          <w:szCs w:val="28"/>
        </w:rPr>
        <w:t xml:space="preserve">a organização das atividades no </w:t>
      </w:r>
      <w:r w:rsidR="00B43A9E" w:rsidRPr="00AB2A12">
        <w:rPr>
          <w:rFonts w:ascii="Times New Roman" w:hAnsi="Times New Roman" w:cs="Times New Roman"/>
          <w:b w:val="0"/>
          <w:bCs/>
          <w:color w:val="C00000"/>
          <w:sz w:val="28"/>
          <w:szCs w:val="28"/>
        </w:rPr>
        <w:t>C</w:t>
      </w:r>
      <w:r w:rsidRPr="00AB2A12">
        <w:rPr>
          <w:rFonts w:ascii="Times New Roman" w:hAnsi="Times New Roman" w:cs="Times New Roman"/>
          <w:b w:val="0"/>
          <w:bCs/>
          <w:color w:val="C00000"/>
          <w:sz w:val="28"/>
          <w:szCs w:val="28"/>
        </w:rPr>
        <w:t>ronograma</w:t>
      </w:r>
      <w:r w:rsidR="00B43A9E" w:rsidRPr="00AB2A12">
        <w:rPr>
          <w:rFonts w:ascii="Times New Roman" w:hAnsi="Times New Roman" w:cs="Times New Roman"/>
          <w:b w:val="0"/>
          <w:bCs/>
          <w:color w:val="C00000"/>
          <w:sz w:val="28"/>
          <w:szCs w:val="28"/>
        </w:rPr>
        <w:t>, sugerida abaixo,</w:t>
      </w:r>
      <w:r w:rsidRPr="00AB2A12">
        <w:rPr>
          <w:rFonts w:ascii="Times New Roman" w:hAnsi="Times New Roman" w:cs="Times New Roman"/>
          <w:b w:val="0"/>
          <w:bCs/>
          <w:color w:val="C00000"/>
          <w:sz w:val="28"/>
          <w:szCs w:val="28"/>
        </w:rPr>
        <w:t xml:space="preserve"> pode ser alterada</w:t>
      </w:r>
      <w:r w:rsidR="00B43A9E" w:rsidRPr="00AB2A12">
        <w:rPr>
          <w:rFonts w:ascii="Times New Roman" w:hAnsi="Times New Roman" w:cs="Times New Roman"/>
          <w:b w:val="0"/>
          <w:bCs/>
          <w:color w:val="C00000"/>
          <w:sz w:val="28"/>
          <w:szCs w:val="28"/>
        </w:rPr>
        <w:t>, segundo a preferência do professor</w:t>
      </w:r>
      <w:r w:rsidRPr="00AB2A12">
        <w:rPr>
          <w:rFonts w:ascii="Times New Roman" w:hAnsi="Times New Roman" w:cs="Times New Roman"/>
          <w:color w:val="C00000"/>
          <w:sz w:val="28"/>
          <w:szCs w:val="28"/>
        </w:rPr>
        <w:t>)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405"/>
        <w:gridCol w:w="6688"/>
        <w:gridCol w:w="1108"/>
      </w:tblGrid>
      <w:tr w:rsidR="00A648B6" w:rsidRPr="00AB2A12" w14:paraId="2B4AAABC" w14:textId="078045CD" w:rsidTr="00AB2A12">
        <w:trPr>
          <w:jc w:val="center"/>
        </w:trPr>
        <w:tc>
          <w:tcPr>
            <w:tcW w:w="2405" w:type="dxa"/>
            <w:shd w:val="clear" w:color="auto" w:fill="F2F2F2" w:themeFill="background1" w:themeFillShade="F2"/>
          </w:tcPr>
          <w:p w14:paraId="246BA229" w14:textId="7CBB4CF5" w:rsidR="00A648B6" w:rsidRPr="00AB2A12" w:rsidRDefault="00D66E34" w:rsidP="00A93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Dias</w:t>
            </w:r>
          </w:p>
        </w:tc>
        <w:tc>
          <w:tcPr>
            <w:tcW w:w="6688" w:type="dxa"/>
            <w:shd w:val="clear" w:color="auto" w:fill="F2F2F2" w:themeFill="background1" w:themeFillShade="F2"/>
          </w:tcPr>
          <w:p w14:paraId="5038BA2A" w14:textId="48894D8A" w:rsidR="00661652" w:rsidRPr="00AB2A12" w:rsidRDefault="00C74608" w:rsidP="00E97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AB2A12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</w:t>
            </w:r>
            <w:r w:rsidR="00EA7AAA" w:rsidRPr="00AB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AB2A12" w14:paraId="4ADA006C" w14:textId="0AC95532" w:rsidTr="00AB2A12">
        <w:trPr>
          <w:jc w:val="center"/>
        </w:trPr>
        <w:tc>
          <w:tcPr>
            <w:tcW w:w="2405" w:type="dxa"/>
            <w:shd w:val="clear" w:color="auto" w:fill="auto"/>
          </w:tcPr>
          <w:p w14:paraId="0E24CA00" w14:textId="069199EB" w:rsidR="00AB2A12" w:rsidRPr="00AB2A12" w:rsidRDefault="00860FBC" w:rsidP="00A93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Terças-feiras letivas</w:t>
            </w:r>
          </w:p>
        </w:tc>
        <w:tc>
          <w:tcPr>
            <w:tcW w:w="6688" w:type="dxa"/>
            <w:shd w:val="clear" w:color="auto" w:fill="auto"/>
          </w:tcPr>
          <w:p w14:paraId="68A5A0A8" w14:textId="71F97CB4" w:rsidR="008A4B9F" w:rsidRPr="00AB2A12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  <w:sz w:val="24"/>
                <w:szCs w:val="24"/>
              </w:rPr>
              <w:t>Síncronas:</w:t>
            </w:r>
          </w:p>
          <w:p w14:paraId="225CA2AE" w14:textId="0B31E946" w:rsidR="008A4B9F" w:rsidRPr="00AB2A12" w:rsidRDefault="00D35B6A" w:rsidP="00D35B6A">
            <w:pPr>
              <w:pStyle w:val="NormalWeb"/>
              <w:shd w:val="clear" w:color="auto" w:fill="FFFFFF"/>
              <w:rPr>
                <w:b w:val="0"/>
              </w:rPr>
            </w:pPr>
            <w:r w:rsidRPr="00AB2A12">
              <w:rPr>
                <w:b w:val="0"/>
                <w:bCs/>
                <w:sz w:val="22"/>
                <w:szCs w:val="22"/>
              </w:rPr>
              <w:t>Encontros síncronos (via Zoom).</w:t>
            </w:r>
            <w:r w:rsidRPr="00AB2A12">
              <w:rPr>
                <w:b w:val="0"/>
                <w:bCs/>
                <w:sz w:val="22"/>
                <w:szCs w:val="22"/>
              </w:rPr>
              <w:br/>
              <w:t xml:space="preserve">Horários: das14h00 às 16h00 (vespertino) e das19h30 às 21h30 (noturno). Será disponibilizado horário complementar para atendimento individual. </w:t>
            </w:r>
          </w:p>
          <w:p w14:paraId="34661254" w14:textId="59580FA2" w:rsidR="008A4B9F" w:rsidRPr="00AB2A12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5B3C0F40" w14:textId="77777777" w:rsidR="00AB2A12" w:rsidRPr="00AB2A12" w:rsidRDefault="00AB2A12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4FC17" w14:textId="77777777" w:rsidR="00AB2A12" w:rsidRPr="00AB2A12" w:rsidRDefault="00AB2A12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626A5" w14:textId="5A789AEC" w:rsidR="001741EF" w:rsidRPr="00AB2A12" w:rsidRDefault="00AB2A12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</w:tr>
      <w:tr w:rsidR="001741EF" w:rsidRPr="00AB2A12" w14:paraId="09C874F5" w14:textId="7A956CB7" w:rsidTr="00AB2A12">
        <w:trPr>
          <w:jc w:val="center"/>
        </w:trPr>
        <w:tc>
          <w:tcPr>
            <w:tcW w:w="2405" w:type="dxa"/>
            <w:shd w:val="clear" w:color="auto" w:fill="auto"/>
          </w:tcPr>
          <w:p w14:paraId="7DFBCE77" w14:textId="33A91B3A" w:rsidR="001741EF" w:rsidRPr="00AB2A12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8" w:type="dxa"/>
            <w:shd w:val="clear" w:color="auto" w:fill="auto"/>
          </w:tcPr>
          <w:p w14:paraId="6F1DDC22" w14:textId="77777777" w:rsidR="00813939" w:rsidRPr="00AB2A12" w:rsidRDefault="008A4B9F" w:rsidP="0081393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  <w:sz w:val="24"/>
                <w:szCs w:val="24"/>
              </w:rPr>
              <w:t>Alternativas de atividades assíncronas (para os alunos que não puderem participar dos encontros síncronos):</w:t>
            </w:r>
          </w:p>
          <w:p w14:paraId="0191632E" w14:textId="16D11BA2" w:rsidR="00813939" w:rsidRPr="00AB2A12" w:rsidRDefault="00813939" w:rsidP="0081393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  <w:b/>
                <w:bCs/>
              </w:rPr>
              <w:br/>
            </w:r>
            <w:r w:rsidRPr="00AB2A12">
              <w:rPr>
                <w:rFonts w:ascii="Times New Roman" w:hAnsi="Times New Roman" w:cs="Times New Roman"/>
              </w:rPr>
              <w:t xml:space="preserve">Orientações de leituras, a partir da seleção de passagens escolhidas dos textos (estudos dirigidos). </w:t>
            </w:r>
          </w:p>
          <w:p w14:paraId="402C97CD" w14:textId="012177F1" w:rsidR="008A4B9F" w:rsidRPr="00AB2A12" w:rsidRDefault="008A4B9F" w:rsidP="00813939">
            <w:pPr>
              <w:pStyle w:val="NormalWeb"/>
              <w:shd w:val="clear" w:color="auto" w:fill="FFFFFF"/>
            </w:pPr>
          </w:p>
        </w:tc>
        <w:tc>
          <w:tcPr>
            <w:tcW w:w="1108" w:type="dxa"/>
            <w:shd w:val="clear" w:color="auto" w:fill="auto"/>
          </w:tcPr>
          <w:p w14:paraId="649C5097" w14:textId="77777777" w:rsidR="001741EF" w:rsidRPr="00AB2A12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56869" w14:textId="77777777" w:rsidR="00372AA5" w:rsidRPr="00AB2A12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2F696" w14:textId="77777777" w:rsidR="00372AA5" w:rsidRPr="00AB2A12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8B472" w14:textId="6EB183E1" w:rsidR="00372AA5" w:rsidRPr="00AB2A12" w:rsidRDefault="00AB2A12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</w:tr>
      <w:tr w:rsidR="008A4B9F" w:rsidRPr="00AB2A12" w14:paraId="0A891B83" w14:textId="77777777" w:rsidTr="00AB2A12">
        <w:trPr>
          <w:jc w:val="center"/>
        </w:trPr>
        <w:tc>
          <w:tcPr>
            <w:tcW w:w="2405" w:type="dxa"/>
            <w:shd w:val="clear" w:color="auto" w:fill="auto"/>
          </w:tcPr>
          <w:p w14:paraId="6D148F3E" w14:textId="77777777" w:rsidR="008A4B9F" w:rsidRPr="00AB2A12" w:rsidRDefault="008A4B9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8" w:type="dxa"/>
            <w:shd w:val="clear" w:color="auto" w:fill="auto"/>
          </w:tcPr>
          <w:p w14:paraId="01794E67" w14:textId="25D4A9A3" w:rsidR="008A4B9F" w:rsidRPr="00AB2A12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  <w:sz w:val="24"/>
                <w:szCs w:val="24"/>
              </w:rPr>
              <w:t>Orientações de leituras:</w:t>
            </w:r>
          </w:p>
          <w:p w14:paraId="08C0CC75" w14:textId="77777777" w:rsidR="008A4B9F" w:rsidRPr="00AB2A12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AB2CB" w14:textId="77777777" w:rsidR="00813939" w:rsidRPr="00AB2A12" w:rsidRDefault="00813939" w:rsidP="0081393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</w:rPr>
              <w:t xml:space="preserve">Leituras da bibliografia básica com orientação do professor disponibilizada </w:t>
            </w:r>
            <w:r w:rsidRPr="00AB2A12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AB2A12">
              <w:rPr>
                <w:rFonts w:ascii="Times New Roman" w:hAnsi="Times New Roman" w:cs="Times New Roman"/>
              </w:rPr>
              <w:t xml:space="preserve"> plataforma Classroom. </w:t>
            </w:r>
          </w:p>
          <w:p w14:paraId="7AD428EB" w14:textId="77777777" w:rsidR="008A4B9F" w:rsidRPr="00AB2A12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832DC" w14:textId="6BD238A6" w:rsidR="008A4B9F" w:rsidRPr="00AB2A12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D4ED297" w14:textId="77777777" w:rsidR="00813939" w:rsidRPr="00AB2A12" w:rsidRDefault="00813939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B428F" w14:textId="77777777" w:rsidR="00813939" w:rsidRPr="00AB2A12" w:rsidRDefault="00813939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40D25" w14:textId="53145129" w:rsidR="008A4B9F" w:rsidRPr="00AB2A12" w:rsidRDefault="00AB2A12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13939" w:rsidRPr="00AB2A1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1741EF" w:rsidRPr="00AB2A12" w14:paraId="37068CA6" w14:textId="1EAF5EF2" w:rsidTr="00AB2A12">
        <w:trPr>
          <w:jc w:val="center"/>
        </w:trPr>
        <w:tc>
          <w:tcPr>
            <w:tcW w:w="2405" w:type="dxa"/>
            <w:shd w:val="clear" w:color="auto" w:fill="auto"/>
          </w:tcPr>
          <w:p w14:paraId="0BA4A18A" w14:textId="0397CD37" w:rsidR="001741EF" w:rsidRPr="00AB2A12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8" w:type="dxa"/>
            <w:shd w:val="clear" w:color="auto" w:fill="auto"/>
          </w:tcPr>
          <w:p w14:paraId="2FAAD032" w14:textId="77777777" w:rsidR="001741EF" w:rsidRPr="00AB2A12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  <w:sz w:val="24"/>
                <w:szCs w:val="24"/>
              </w:rPr>
              <w:t>Avaliações:</w:t>
            </w:r>
          </w:p>
          <w:p w14:paraId="2EDAE3C9" w14:textId="77777777" w:rsidR="008A4B9F" w:rsidRPr="00AB2A12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08038" w14:textId="77777777" w:rsidR="00813939" w:rsidRPr="00AB2A12" w:rsidRDefault="00813939" w:rsidP="0081393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</w:rPr>
              <w:t xml:space="preserve">Relatórios, seminários e trabalhos escritos. </w:t>
            </w:r>
          </w:p>
          <w:p w14:paraId="3E98E5A5" w14:textId="77777777" w:rsidR="008A4B9F" w:rsidRPr="00AB2A12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5D2D8" w14:textId="35A2B8D0" w:rsidR="008A4B9F" w:rsidRPr="00AB2A12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74D977FD" w14:textId="77777777" w:rsidR="00813939" w:rsidRPr="00AB2A12" w:rsidRDefault="00813939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B50B3" w14:textId="77777777" w:rsidR="00813939" w:rsidRPr="00AB2A12" w:rsidRDefault="00813939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A221C" w14:textId="3831D158" w:rsidR="001741EF" w:rsidRPr="00AB2A12" w:rsidRDefault="00813939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A12" w:rsidRPr="00AB2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2A1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CA0C06" w:rsidRPr="00AB2A12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CA0C06" w:rsidRPr="00AB2A12" w:rsidRDefault="00CA0C06" w:rsidP="00CA0C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Total de</w:t>
            </w:r>
            <w:r w:rsidR="008A4B9F" w:rsidRPr="00AB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4E272387" w:rsidR="00CA0C06" w:rsidRPr="00AB2A12" w:rsidRDefault="00CA0C06" w:rsidP="00EA7A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1732A" w:rsidRPr="00AB2A12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5BF59971" w14:textId="66232A8A" w:rsidR="0051732A" w:rsidRPr="00AB2A12" w:rsidRDefault="00860FBC" w:rsidP="00EA7AAA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A3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1732A" w:rsidRPr="00AB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1732A" w:rsidRPr="00AB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1732A" w:rsidRPr="00AB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4B6F1B" w:rsidRPr="00AB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Prazo final para preenchimento da pasta verde.</w:t>
            </w:r>
          </w:p>
        </w:tc>
      </w:tr>
    </w:tbl>
    <w:p w14:paraId="68C35FD0" w14:textId="77777777" w:rsidR="00F32EAF" w:rsidRPr="00AB2A12" w:rsidRDefault="00F32EAF" w:rsidP="008C7160">
      <w:pPr>
        <w:rPr>
          <w:rFonts w:ascii="Times New Roman" w:hAnsi="Times New Roman" w:cs="Times New Roman"/>
          <w:sz w:val="24"/>
          <w:szCs w:val="24"/>
        </w:rPr>
      </w:pPr>
    </w:p>
    <w:p w14:paraId="5040E464" w14:textId="7262D452" w:rsidR="00066EF9" w:rsidRPr="00AB2A12" w:rsidRDefault="00066EF9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85017" w14:textId="77777777" w:rsidR="00C044DA" w:rsidRPr="00AB2A12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B2A12" w:rsidSect="003731EC">
      <w:headerReference w:type="default" r:id="rId7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3FED" w14:textId="77777777" w:rsidR="00363DBA" w:rsidRDefault="00363DBA" w:rsidP="003D7D73">
      <w:pPr>
        <w:spacing w:before="0" w:after="0"/>
      </w:pPr>
      <w:r>
        <w:separator/>
      </w:r>
    </w:p>
  </w:endnote>
  <w:endnote w:type="continuationSeparator" w:id="0">
    <w:p w14:paraId="03F38F97" w14:textId="77777777" w:rsidR="00363DBA" w:rsidRDefault="00363DBA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E2B1" w14:textId="77777777" w:rsidR="00363DBA" w:rsidRDefault="00363DBA" w:rsidP="003D7D73">
      <w:pPr>
        <w:spacing w:before="0" w:after="0"/>
      </w:pPr>
      <w:r>
        <w:separator/>
      </w:r>
    </w:p>
  </w:footnote>
  <w:footnote w:type="continuationSeparator" w:id="0">
    <w:p w14:paraId="1E1B87B8" w14:textId="77777777" w:rsidR="00363DBA" w:rsidRDefault="00363DBA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21D54"/>
    <w:rsid w:val="00043C06"/>
    <w:rsid w:val="000574AE"/>
    <w:rsid w:val="00062157"/>
    <w:rsid w:val="00066EF9"/>
    <w:rsid w:val="000B64E4"/>
    <w:rsid w:val="000C14BA"/>
    <w:rsid w:val="000D5B3B"/>
    <w:rsid w:val="000E0A67"/>
    <w:rsid w:val="000E781C"/>
    <w:rsid w:val="000F4381"/>
    <w:rsid w:val="001026A3"/>
    <w:rsid w:val="001128EE"/>
    <w:rsid w:val="0012761A"/>
    <w:rsid w:val="00161219"/>
    <w:rsid w:val="001741EF"/>
    <w:rsid w:val="00187C52"/>
    <w:rsid w:val="001A05F6"/>
    <w:rsid w:val="001A0BB2"/>
    <w:rsid w:val="001A392F"/>
    <w:rsid w:val="001C7884"/>
    <w:rsid w:val="001E0B86"/>
    <w:rsid w:val="001E0E91"/>
    <w:rsid w:val="001F1168"/>
    <w:rsid w:val="0025011A"/>
    <w:rsid w:val="00261EB7"/>
    <w:rsid w:val="00270D92"/>
    <w:rsid w:val="00271D97"/>
    <w:rsid w:val="00276029"/>
    <w:rsid w:val="00282827"/>
    <w:rsid w:val="00291113"/>
    <w:rsid w:val="0029713F"/>
    <w:rsid w:val="002B1DFD"/>
    <w:rsid w:val="002D421D"/>
    <w:rsid w:val="00314D10"/>
    <w:rsid w:val="003372C2"/>
    <w:rsid w:val="003412BE"/>
    <w:rsid w:val="003431DF"/>
    <w:rsid w:val="003434FE"/>
    <w:rsid w:val="00363DBA"/>
    <w:rsid w:val="00372AA5"/>
    <w:rsid w:val="003731EC"/>
    <w:rsid w:val="003A3B61"/>
    <w:rsid w:val="003B69A0"/>
    <w:rsid w:val="003D7D73"/>
    <w:rsid w:val="003E1599"/>
    <w:rsid w:val="003E24CF"/>
    <w:rsid w:val="003E70D2"/>
    <w:rsid w:val="004172A3"/>
    <w:rsid w:val="00431F82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1780"/>
    <w:rsid w:val="0051732A"/>
    <w:rsid w:val="0053702B"/>
    <w:rsid w:val="00564488"/>
    <w:rsid w:val="0056663E"/>
    <w:rsid w:val="0056665A"/>
    <w:rsid w:val="0057043E"/>
    <w:rsid w:val="005705FE"/>
    <w:rsid w:val="005B145B"/>
    <w:rsid w:val="005C362C"/>
    <w:rsid w:val="005C7751"/>
    <w:rsid w:val="005E4FC1"/>
    <w:rsid w:val="0060104B"/>
    <w:rsid w:val="00603178"/>
    <w:rsid w:val="00625CD1"/>
    <w:rsid w:val="006357D6"/>
    <w:rsid w:val="00661652"/>
    <w:rsid w:val="006865A0"/>
    <w:rsid w:val="006B1D58"/>
    <w:rsid w:val="006C3D21"/>
    <w:rsid w:val="006C4F3E"/>
    <w:rsid w:val="00717F4C"/>
    <w:rsid w:val="00725FC0"/>
    <w:rsid w:val="00737244"/>
    <w:rsid w:val="00742D0B"/>
    <w:rsid w:val="0074623C"/>
    <w:rsid w:val="00767411"/>
    <w:rsid w:val="007A1478"/>
    <w:rsid w:val="007A3588"/>
    <w:rsid w:val="007A514B"/>
    <w:rsid w:val="007A584C"/>
    <w:rsid w:val="007B4F68"/>
    <w:rsid w:val="00813939"/>
    <w:rsid w:val="008147BB"/>
    <w:rsid w:val="00832A9E"/>
    <w:rsid w:val="008350DD"/>
    <w:rsid w:val="00860FBC"/>
    <w:rsid w:val="00862D08"/>
    <w:rsid w:val="008A4B9F"/>
    <w:rsid w:val="008A7B49"/>
    <w:rsid w:val="008C6174"/>
    <w:rsid w:val="008C7160"/>
    <w:rsid w:val="008F2271"/>
    <w:rsid w:val="008F5379"/>
    <w:rsid w:val="009332FA"/>
    <w:rsid w:val="00960464"/>
    <w:rsid w:val="00986834"/>
    <w:rsid w:val="009877A0"/>
    <w:rsid w:val="009A102C"/>
    <w:rsid w:val="009A5713"/>
    <w:rsid w:val="009B5E2B"/>
    <w:rsid w:val="00A04FC0"/>
    <w:rsid w:val="00A126F9"/>
    <w:rsid w:val="00A326C6"/>
    <w:rsid w:val="00A46BD6"/>
    <w:rsid w:val="00A57844"/>
    <w:rsid w:val="00A60AB1"/>
    <w:rsid w:val="00A648B6"/>
    <w:rsid w:val="00A910EF"/>
    <w:rsid w:val="00AA3648"/>
    <w:rsid w:val="00AB04AF"/>
    <w:rsid w:val="00AB2A12"/>
    <w:rsid w:val="00AB7B53"/>
    <w:rsid w:val="00AD0A25"/>
    <w:rsid w:val="00AD400F"/>
    <w:rsid w:val="00B12C91"/>
    <w:rsid w:val="00B153AC"/>
    <w:rsid w:val="00B43A9E"/>
    <w:rsid w:val="00B67965"/>
    <w:rsid w:val="00B73B41"/>
    <w:rsid w:val="00B81A72"/>
    <w:rsid w:val="00B85EBE"/>
    <w:rsid w:val="00BA1C40"/>
    <w:rsid w:val="00BA336B"/>
    <w:rsid w:val="00BC1989"/>
    <w:rsid w:val="00BD6B14"/>
    <w:rsid w:val="00BE4407"/>
    <w:rsid w:val="00BE5183"/>
    <w:rsid w:val="00BE72A6"/>
    <w:rsid w:val="00C044DA"/>
    <w:rsid w:val="00C05908"/>
    <w:rsid w:val="00C14D9C"/>
    <w:rsid w:val="00C74608"/>
    <w:rsid w:val="00CA055A"/>
    <w:rsid w:val="00CA0C06"/>
    <w:rsid w:val="00CA0E7D"/>
    <w:rsid w:val="00CA5956"/>
    <w:rsid w:val="00CC112C"/>
    <w:rsid w:val="00CC18A3"/>
    <w:rsid w:val="00CC23BE"/>
    <w:rsid w:val="00CC2854"/>
    <w:rsid w:val="00CE33C9"/>
    <w:rsid w:val="00D00FF0"/>
    <w:rsid w:val="00D12B89"/>
    <w:rsid w:val="00D21668"/>
    <w:rsid w:val="00D21DF1"/>
    <w:rsid w:val="00D35B6A"/>
    <w:rsid w:val="00D35E3D"/>
    <w:rsid w:val="00D65F2E"/>
    <w:rsid w:val="00D66E34"/>
    <w:rsid w:val="00D71BB8"/>
    <w:rsid w:val="00D83A8B"/>
    <w:rsid w:val="00DA5C61"/>
    <w:rsid w:val="00DF1F79"/>
    <w:rsid w:val="00DF4FB6"/>
    <w:rsid w:val="00E3778A"/>
    <w:rsid w:val="00E40043"/>
    <w:rsid w:val="00E433C8"/>
    <w:rsid w:val="00E6385A"/>
    <w:rsid w:val="00E80596"/>
    <w:rsid w:val="00E82410"/>
    <w:rsid w:val="00E97CD3"/>
    <w:rsid w:val="00EA7AAA"/>
    <w:rsid w:val="00EB0F45"/>
    <w:rsid w:val="00ED5135"/>
    <w:rsid w:val="00F0445E"/>
    <w:rsid w:val="00F32EAF"/>
    <w:rsid w:val="00F454FF"/>
    <w:rsid w:val="00F47438"/>
    <w:rsid w:val="00F54DDC"/>
    <w:rsid w:val="00F54F4C"/>
    <w:rsid w:val="00F64C68"/>
    <w:rsid w:val="00F731B2"/>
    <w:rsid w:val="00F75FA3"/>
    <w:rsid w:val="00F82FBE"/>
    <w:rsid w:val="00F84B16"/>
    <w:rsid w:val="00F92630"/>
    <w:rsid w:val="00F95C5D"/>
    <w:rsid w:val="00FA0307"/>
    <w:rsid w:val="00F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35B6A"/>
    <w:pPr>
      <w:keepNext/>
      <w:suppressAutoHyphens/>
      <w:spacing w:before="240" w:after="60"/>
      <w:outlineLvl w:val="0"/>
    </w:pPr>
    <w:rPr>
      <w:rFonts w:ascii="Arial" w:eastAsia="Times New Roman" w:hAnsi="Arial" w:cs="Arial"/>
      <w:bCs/>
      <w:kern w:val="32"/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1F79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35B6A"/>
    <w:rPr>
      <w:rFonts w:ascii="Arial" w:eastAsia="Times New Roman" w:hAnsi="Arial" w:cs="Arial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8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 Rocha Ferreira</cp:lastModifiedBy>
  <cp:revision>3</cp:revision>
  <dcterms:created xsi:type="dcterms:W3CDTF">2021-07-09T20:06:00Z</dcterms:created>
  <dcterms:modified xsi:type="dcterms:W3CDTF">2021-08-18T13:59:00Z</dcterms:modified>
</cp:coreProperties>
</file>