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67F9" w14:textId="77777777" w:rsidR="006E58EF" w:rsidRPr="0022248F" w:rsidRDefault="006E58EF" w:rsidP="006E5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tbl>
      <w:tblPr>
        <w:tblStyle w:val="30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0"/>
        <w:gridCol w:w="239"/>
        <w:gridCol w:w="788"/>
        <w:gridCol w:w="2191"/>
        <w:gridCol w:w="1481"/>
      </w:tblGrid>
      <w:tr w:rsidR="006E58EF" w:rsidRPr="0022248F" w14:paraId="50E2049F" w14:textId="77777777" w:rsidTr="002F1872">
        <w:tc>
          <w:tcPr>
            <w:tcW w:w="9339" w:type="dxa"/>
            <w:gridSpan w:val="6"/>
            <w:shd w:val="clear" w:color="auto" w:fill="auto"/>
          </w:tcPr>
          <w:p w14:paraId="1A01C4A7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LEITURA E INTERPRETAÇÃO DE TEXTOS CLÁSSICOS I</w:t>
            </w:r>
          </w:p>
        </w:tc>
      </w:tr>
      <w:tr w:rsidR="006E58EF" w:rsidRPr="0022248F" w14:paraId="4E90C727" w14:textId="77777777" w:rsidTr="002F1872">
        <w:tc>
          <w:tcPr>
            <w:tcW w:w="4879" w:type="dxa"/>
            <w:gridSpan w:val="3"/>
            <w:shd w:val="clear" w:color="auto" w:fill="auto"/>
          </w:tcPr>
          <w:p w14:paraId="09D82C52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Breno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Zuppolini</w:t>
            </w:r>
            <w:proofErr w:type="spellEnd"/>
          </w:p>
        </w:tc>
        <w:tc>
          <w:tcPr>
            <w:tcW w:w="4460" w:type="dxa"/>
            <w:gridSpan w:val="3"/>
            <w:shd w:val="clear" w:color="auto" w:fill="auto"/>
          </w:tcPr>
          <w:p w14:paraId="4528F020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breno.zuppolini@unifesp.com</w:t>
            </w:r>
          </w:p>
        </w:tc>
      </w:tr>
      <w:tr w:rsidR="006E58EF" w:rsidRPr="0022248F" w14:paraId="14EB8833" w14:textId="77777777" w:rsidTr="002F1872">
        <w:tc>
          <w:tcPr>
            <w:tcW w:w="4879" w:type="dxa"/>
            <w:gridSpan w:val="3"/>
            <w:shd w:val="clear" w:color="auto" w:fill="auto"/>
          </w:tcPr>
          <w:p w14:paraId="2335009B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60" w:type="dxa"/>
            <w:gridSpan w:val="3"/>
            <w:shd w:val="clear" w:color="auto" w:fill="auto"/>
          </w:tcPr>
          <w:p w14:paraId="43650131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6E58EF" w:rsidRPr="0022248F" w14:paraId="3FCB0D0B" w14:textId="77777777" w:rsidTr="002F1872">
        <w:tc>
          <w:tcPr>
            <w:tcW w:w="9339" w:type="dxa"/>
            <w:gridSpan w:val="6"/>
            <w:shd w:val="clear" w:color="auto" w:fill="auto"/>
          </w:tcPr>
          <w:p w14:paraId="2AD4C660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6E58EF" w:rsidRPr="0022248F" w14:paraId="477F64DB" w14:textId="77777777" w:rsidTr="002F1872">
        <w:tc>
          <w:tcPr>
            <w:tcW w:w="9339" w:type="dxa"/>
            <w:gridSpan w:val="6"/>
            <w:shd w:val="clear" w:color="auto" w:fill="auto"/>
          </w:tcPr>
          <w:p w14:paraId="6BC0335D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6E58EF" w:rsidRPr="0022248F" w14:paraId="0F49CF5E" w14:textId="77777777" w:rsidTr="002F1872">
        <w:tc>
          <w:tcPr>
            <w:tcW w:w="4879" w:type="dxa"/>
            <w:gridSpan w:val="3"/>
            <w:shd w:val="clear" w:color="auto" w:fill="auto"/>
          </w:tcPr>
          <w:p w14:paraId="7D4CF8F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60" w:type="dxa"/>
            <w:gridSpan w:val="3"/>
            <w:shd w:val="clear" w:color="auto" w:fill="auto"/>
          </w:tcPr>
          <w:p w14:paraId="0CF788DA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6E58EF" w:rsidRPr="0022248F" w14:paraId="142CD47C" w14:textId="77777777" w:rsidTr="002F1872">
        <w:tc>
          <w:tcPr>
            <w:tcW w:w="9339" w:type="dxa"/>
            <w:gridSpan w:val="6"/>
            <w:shd w:val="clear" w:color="auto" w:fill="auto"/>
          </w:tcPr>
          <w:p w14:paraId="1DA4F728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5CAA813C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Este curso pretende promover um estudo cuidadoso de passagens selecionadas da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(</w:t>
            </w:r>
            <w:r w:rsidRPr="0022248F">
              <w:rPr>
                <w:i/>
                <w:sz w:val="22"/>
                <w:szCs w:val="22"/>
                <w:highlight w:val="white"/>
              </w:rPr>
              <w:t>EN</w:t>
            </w:r>
            <w:r w:rsidRPr="0022248F">
              <w:rPr>
                <w:sz w:val="22"/>
                <w:szCs w:val="22"/>
                <w:highlight w:val="white"/>
              </w:rPr>
              <w:t>) de Aristóteles, objetivando: (i) o domínio de conceitos básicos para leitura e interpretação de textos clássicos (proposição, argumento, verdade, validade, definição, entre outros), (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) a construção de hipóteses exegéticas e confrontação com evidências textuais, (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iii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) a elaboração de textos dissertativos com defesa de teses de interpretação e (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iv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) uma introdução à filosofia prática de Aristóteles.  </w:t>
            </w:r>
          </w:p>
        </w:tc>
      </w:tr>
      <w:tr w:rsidR="006E58EF" w:rsidRPr="0022248F" w14:paraId="4466E898" w14:textId="77777777" w:rsidTr="002F1872">
        <w:tc>
          <w:tcPr>
            <w:tcW w:w="9339" w:type="dxa"/>
            <w:gridSpan w:val="6"/>
            <w:shd w:val="clear" w:color="auto" w:fill="auto"/>
          </w:tcPr>
          <w:p w14:paraId="16E04BED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35CD836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propõe introduzir na leitura de textos clássicos segundo diferentes métodos de interpretação.</w:t>
            </w:r>
          </w:p>
          <w:p w14:paraId="283640F6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6E58EF" w:rsidRPr="0022248F" w14:paraId="6C76DE4D" w14:textId="77777777" w:rsidTr="002F1872">
        <w:tc>
          <w:tcPr>
            <w:tcW w:w="9339" w:type="dxa"/>
            <w:gridSpan w:val="6"/>
            <w:shd w:val="clear" w:color="auto" w:fill="auto"/>
          </w:tcPr>
          <w:p w14:paraId="3AF5F725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09171DD0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Etapa 1 (</w:t>
            </w:r>
            <w:r w:rsidRPr="0022248F">
              <w:rPr>
                <w:i/>
                <w:sz w:val="22"/>
                <w:szCs w:val="22"/>
                <w:highlight w:val="white"/>
              </w:rPr>
              <w:t>EN</w:t>
            </w:r>
            <w:r w:rsidRPr="0022248F">
              <w:rPr>
                <w:sz w:val="22"/>
                <w:szCs w:val="22"/>
                <w:highlight w:val="white"/>
              </w:rPr>
              <w:t xml:space="preserve"> I 1-13): sumo bem e felicidade (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eudaimonia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); bem inclusivo vs. bem dominante; virtudes do caráter vs. virtudes intelectuais.</w:t>
            </w:r>
          </w:p>
          <w:p w14:paraId="56DF6018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Etapa 2 (</w:t>
            </w:r>
            <w:r w:rsidRPr="0022248F">
              <w:rPr>
                <w:i/>
                <w:sz w:val="22"/>
                <w:szCs w:val="22"/>
                <w:highlight w:val="white"/>
              </w:rPr>
              <w:t>EN</w:t>
            </w:r>
            <w:r w:rsidRPr="0022248F">
              <w:rPr>
                <w:sz w:val="22"/>
                <w:szCs w:val="22"/>
                <w:highlight w:val="white"/>
              </w:rPr>
              <w:t xml:space="preserve"> II 1-9; VI 1-13): virtudes do caráter; habituação; escolha;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mediedade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; sabedoria prática (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phronesis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) e virtudes do intelecto.</w:t>
            </w:r>
          </w:p>
          <w:p w14:paraId="5276670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Etapa 3 (</w:t>
            </w:r>
            <w:r w:rsidRPr="0022248F">
              <w:rPr>
                <w:i/>
                <w:sz w:val="22"/>
                <w:szCs w:val="22"/>
                <w:highlight w:val="white"/>
              </w:rPr>
              <w:t>EN</w:t>
            </w:r>
            <w:r w:rsidRPr="0022248F">
              <w:rPr>
                <w:sz w:val="22"/>
                <w:szCs w:val="22"/>
                <w:highlight w:val="white"/>
              </w:rPr>
              <w:t xml:space="preserve"> III 1-5; VII 1-10): voluntariedade; responsabilidade moral; deliberação; incontinência (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akrasia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).</w:t>
            </w:r>
          </w:p>
          <w:p w14:paraId="235AC651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Etapa 4 (</w:t>
            </w:r>
            <w:r w:rsidRPr="0022248F">
              <w:rPr>
                <w:i/>
                <w:sz w:val="22"/>
                <w:szCs w:val="22"/>
                <w:highlight w:val="white"/>
              </w:rPr>
              <w:t>EN</w:t>
            </w:r>
            <w:r w:rsidRPr="0022248F">
              <w:rPr>
                <w:sz w:val="22"/>
                <w:szCs w:val="22"/>
                <w:highlight w:val="white"/>
              </w:rPr>
              <w:t xml:space="preserve"> X 6-8): felicidade e sabedoria teórica.</w:t>
            </w:r>
          </w:p>
        </w:tc>
      </w:tr>
      <w:tr w:rsidR="006E58EF" w:rsidRPr="0022248F" w14:paraId="3AC9A0B9" w14:textId="77777777" w:rsidTr="002F1872">
        <w:tc>
          <w:tcPr>
            <w:tcW w:w="9339" w:type="dxa"/>
            <w:gridSpan w:val="6"/>
            <w:shd w:val="clear" w:color="auto" w:fill="auto"/>
          </w:tcPr>
          <w:p w14:paraId="273B17C0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210AEA42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com leitura e análise de texto, escrutínio de teses e argumentos e discussão conjunta das alternativas de interpretação.</w:t>
            </w:r>
          </w:p>
        </w:tc>
      </w:tr>
      <w:tr w:rsidR="006E58EF" w:rsidRPr="0022248F" w14:paraId="26863E89" w14:textId="77777777" w:rsidTr="002F1872">
        <w:tc>
          <w:tcPr>
            <w:tcW w:w="9339" w:type="dxa"/>
            <w:gridSpan w:val="6"/>
            <w:shd w:val="clear" w:color="auto" w:fill="auto"/>
          </w:tcPr>
          <w:p w14:paraId="64279C44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5EA2CC58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Apresentação de slides e/ou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handouts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</w:t>
            </w:r>
          </w:p>
        </w:tc>
      </w:tr>
      <w:tr w:rsidR="006E58EF" w:rsidRPr="0022248F" w14:paraId="0252138F" w14:textId="77777777" w:rsidTr="002F1872">
        <w:tc>
          <w:tcPr>
            <w:tcW w:w="9339" w:type="dxa"/>
            <w:gridSpan w:val="6"/>
            <w:shd w:val="clear" w:color="auto" w:fill="auto"/>
          </w:tcPr>
          <w:p w14:paraId="0719DD3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06478F5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Exercício dissertativo (metade do semestre, peso 1); trabalho final (fim do semestre, peso 2).</w:t>
            </w:r>
          </w:p>
        </w:tc>
      </w:tr>
      <w:tr w:rsidR="006E58EF" w:rsidRPr="0022248F" w14:paraId="1D15C9D6" w14:textId="77777777" w:rsidTr="002F1872">
        <w:tc>
          <w:tcPr>
            <w:tcW w:w="9339" w:type="dxa"/>
            <w:gridSpan w:val="6"/>
            <w:shd w:val="clear" w:color="auto" w:fill="auto"/>
          </w:tcPr>
          <w:p w14:paraId="21C51577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20D538C5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2EEFB370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Textos de Aristóteles:</w:t>
            </w:r>
          </w:p>
          <w:p w14:paraId="3CC3894F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ANGIONI, L. “Ética 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Nicômaco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Livro VI”.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Dissertatio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34, 2011, pp. 285-300. Disponível on-line em </w:t>
            </w:r>
            <w:r w:rsidRPr="0022248F">
              <w:rPr>
                <w:color w:val="00009A"/>
                <w:sz w:val="22"/>
                <w:szCs w:val="22"/>
                <w:highlight w:val="white"/>
              </w:rPr>
              <w:t>http://www.ufpel.edu.br/isp/dissertatio/revistas/34/12.pdf</w:t>
            </w:r>
          </w:p>
          <w:p w14:paraId="3477695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BYWATER, I. (ed.)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Bywater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I. Oxford: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1894.</w:t>
            </w:r>
          </w:p>
          <w:p w14:paraId="641075E2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IRWIN, T.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2ed. Indianapolis: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Hackett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Publishing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Company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1999.</w:t>
            </w:r>
          </w:p>
          <w:p w14:paraId="66874C0C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RACKHAM, H.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sz w:val="22"/>
                <w:szCs w:val="22"/>
                <w:highlight w:val="white"/>
              </w:rPr>
              <w:t xml:space="preserve">Cambridge, MA, Harvard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Press; London, William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Heinemann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Ltd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1994.</w:t>
            </w:r>
          </w:p>
          <w:p w14:paraId="6F7D463E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ROSS, D. W.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in Barnes, J. (ed.)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Complete Works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2002.</w:t>
            </w:r>
          </w:p>
          <w:p w14:paraId="33FCA937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SOLOMON, J.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Eudemian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In: BARNES, J. (ed.)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Complete Works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Revised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Oxford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Translation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volume 2, Princeton: Princeton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1984.</w:t>
            </w:r>
          </w:p>
          <w:p w14:paraId="7EF48402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TAYLOR, C. C. W.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: Books II-IV</w:t>
            </w:r>
            <w:r w:rsidRPr="0022248F">
              <w:rPr>
                <w:sz w:val="22"/>
                <w:szCs w:val="22"/>
                <w:highlight w:val="white"/>
              </w:rPr>
              <w:t>. Oxford: Clarendon Press, 2006.</w:t>
            </w:r>
          </w:p>
          <w:p w14:paraId="0579498D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VALLANDRO, L. &amp; BORNHEIM, G.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Aristóteles: Ética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Nicômaco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Coleção ‘Os Pensadores’. São Paulo, Abril Cultural: 1984.</w:t>
            </w:r>
          </w:p>
          <w:p w14:paraId="19074D6A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ZINGANO, 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Nicomachea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 13 – III 8: Tratado da Virtude Moral</w:t>
            </w:r>
            <w:r w:rsidRPr="0022248F">
              <w:rPr>
                <w:sz w:val="22"/>
                <w:szCs w:val="22"/>
                <w:highlight w:val="white"/>
              </w:rPr>
              <w:t>. São Paulo: Odysseus Editora, 2008.</w:t>
            </w:r>
          </w:p>
          <w:p w14:paraId="48318EE9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30444B59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ACKRILL, J.L.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Eudaimonia” in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Essays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Plato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1997.</w:t>
            </w:r>
          </w:p>
          <w:p w14:paraId="470B72D8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ACKRILL, J.L.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Action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” in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Essays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Plato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1997</w:t>
            </w:r>
          </w:p>
          <w:p w14:paraId="1D419652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ANGIONI, L. “Notas sobre a definição de virtude moral em Aristóteles (EN 1106b 36-1107a 2)”, </w:t>
            </w:r>
            <w:r w:rsidRPr="0022248F">
              <w:rPr>
                <w:i/>
                <w:sz w:val="22"/>
                <w:szCs w:val="22"/>
                <w:highlight w:val="white"/>
              </w:rPr>
              <w:t>Revista de Filosofia Antiga</w:t>
            </w:r>
            <w:r w:rsidRPr="0022248F">
              <w:rPr>
                <w:sz w:val="22"/>
                <w:szCs w:val="22"/>
                <w:highlight w:val="white"/>
              </w:rPr>
              <w:t xml:space="preserve">, Vol. 3,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issue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1, 2009 (link: </w:t>
            </w:r>
            <w:hyperlink r:id="rId4">
              <w:r w:rsidRPr="0022248F">
                <w:rPr>
                  <w:sz w:val="22"/>
                  <w:szCs w:val="22"/>
                  <w:highlight w:val="white"/>
                </w:rPr>
                <w:t>http://www.filosofiaantiga.com/documents/definicaovirtude.pdf</w:t>
              </w:r>
            </w:hyperlink>
            <w:r w:rsidRPr="0022248F">
              <w:rPr>
                <w:sz w:val="22"/>
                <w:szCs w:val="22"/>
                <w:highlight w:val="white"/>
              </w:rPr>
              <w:t>)</w:t>
            </w:r>
          </w:p>
          <w:p w14:paraId="7830970F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ANGIONI, L. “As relações entre fins e meios e a relevância moral da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phronesis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na ética de Aristóteles”, </w:t>
            </w:r>
            <w:r w:rsidRPr="0022248F">
              <w:rPr>
                <w:i/>
                <w:sz w:val="22"/>
                <w:szCs w:val="22"/>
                <w:highlight w:val="white"/>
              </w:rPr>
              <w:t>Revista Filosófica de Coimbra</w:t>
            </w:r>
            <w:r w:rsidRPr="0022248F">
              <w:rPr>
                <w:sz w:val="22"/>
                <w:szCs w:val="22"/>
                <w:highlight w:val="white"/>
              </w:rPr>
              <w:t xml:space="preserve">, vol. 35, 2009, pp. 185-204 (link: </w:t>
            </w:r>
            <w:hyperlink r:id="rId5">
              <w:r w:rsidRPr="0022248F">
                <w:rPr>
                  <w:sz w:val="22"/>
                  <w:szCs w:val="22"/>
                  <w:highlight w:val="white"/>
                </w:rPr>
                <w:t>http://www.uc.pt/fluc/dfci/publicacoes/as_relacoes_entre_fins_e_meios</w:t>
              </w:r>
            </w:hyperlink>
            <w:r w:rsidRPr="0022248F">
              <w:rPr>
                <w:sz w:val="22"/>
                <w:szCs w:val="22"/>
                <w:highlight w:val="white"/>
              </w:rPr>
              <w:t>).</w:t>
            </w:r>
          </w:p>
          <w:p w14:paraId="7B202164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ANGIONI, L. “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Phronesis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e virtude do caráter em Aristóteles: Comentários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Nicômaco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VI”,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Dissertatio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34, 2011, p. 303-345, disponível on-line em </w:t>
            </w:r>
            <w:hyperlink r:id="rId6">
              <w:r w:rsidRPr="0022248F">
                <w:rPr>
                  <w:sz w:val="22"/>
                  <w:szCs w:val="22"/>
                  <w:highlight w:val="white"/>
                </w:rPr>
                <w:t>http://www.ufpel.edu.br/isp/dissertatio/revistas/34/13.pdf</w:t>
              </w:r>
            </w:hyperlink>
            <w:r w:rsidRPr="0022248F">
              <w:rPr>
                <w:sz w:val="22"/>
                <w:szCs w:val="22"/>
                <w:highlight w:val="white"/>
              </w:rPr>
              <w:t>.</w:t>
            </w:r>
          </w:p>
          <w:p w14:paraId="1AADFEC7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BURNYEAT, M.F.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Learning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Be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Good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”, in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Rorty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A.O. (ed.),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Essays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’ 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Ethics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California: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California Press, 1980.</w:t>
            </w:r>
          </w:p>
          <w:p w14:paraId="2013DF1A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COOPE, U.  ‘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’ In: O'Connor, T.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Sandis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C. (eds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.).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Blackwell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Companion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Action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Blackwell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2010.</w:t>
            </w:r>
          </w:p>
          <w:p w14:paraId="3562B4E0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COOPER, J.M.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Reason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Human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Good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Indianapolis: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Hackett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Publishing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Company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1986.</w:t>
            </w:r>
          </w:p>
          <w:p w14:paraId="26C1B358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GAZONI, F. M.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Felicidade controversa - volição, prescrição e lógica na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eudaimonia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aristotélica</w:t>
            </w:r>
            <w:r w:rsidRPr="0022248F">
              <w:rPr>
                <w:sz w:val="22"/>
                <w:szCs w:val="22"/>
                <w:highlight w:val="white"/>
              </w:rPr>
              <w:t xml:space="preserve">. Tese (Doutorado em Filosofia) - Faculdade de Filosofia, Letras e Ciências Humanas, Universidade de São Paulo, São Paulo, 2012. doi:10.11606/T.8.2012.tde-09112012-120942. </w:t>
            </w:r>
          </w:p>
          <w:p w14:paraId="7009F2C2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HOBUSS, J.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Eudaimonia 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Auto-suficiência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em Aristóteles</w:t>
            </w:r>
            <w:r w:rsidRPr="0022248F">
              <w:rPr>
                <w:sz w:val="22"/>
                <w:szCs w:val="22"/>
                <w:highlight w:val="white"/>
              </w:rPr>
              <w:t xml:space="preserve">. Pelotas: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Ufpel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2002.</w:t>
            </w:r>
          </w:p>
          <w:p w14:paraId="48B2FABB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IRWIN, T.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Conceptions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Happiness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Nicomachean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Ethics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.” In: Shields, C.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Oxford Handbook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Oxford, Oxford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University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Press, 2012.</w:t>
            </w:r>
          </w:p>
          <w:p w14:paraId="1549B45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LEAR, J. </w:t>
            </w:r>
            <w:r w:rsidRPr="0022248F">
              <w:rPr>
                <w:i/>
                <w:sz w:val="22"/>
                <w:szCs w:val="22"/>
                <w:highlight w:val="white"/>
              </w:rPr>
              <w:t>Aristóteles: o desejo de entender</w:t>
            </w:r>
            <w:r w:rsidRPr="0022248F">
              <w:rPr>
                <w:sz w:val="22"/>
                <w:szCs w:val="22"/>
                <w:highlight w:val="white"/>
              </w:rPr>
              <w:t>, trad. Lygia Watanabe. S. Paulo: Discurso Editorial, 2006.</w:t>
            </w:r>
          </w:p>
          <w:p w14:paraId="47978634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SHIELDS, C.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London: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Routledge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2007.</w:t>
            </w:r>
          </w:p>
          <w:p w14:paraId="1B045F9F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SPINELLI, P. T.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 prudência na Ética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Nicomaquéia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Aristóteles</w:t>
            </w:r>
            <w:r w:rsidRPr="0022248F">
              <w:rPr>
                <w:sz w:val="22"/>
                <w:szCs w:val="22"/>
                <w:highlight w:val="white"/>
              </w:rPr>
              <w:t xml:space="preserve">. São Leopoldo, Editora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Unisinos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2007.</w:t>
            </w:r>
          </w:p>
          <w:p w14:paraId="11D50B5D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ZINGANO, M.A. </w:t>
            </w:r>
            <w:r w:rsidRPr="0022248F">
              <w:rPr>
                <w:i/>
                <w:sz w:val="22"/>
                <w:szCs w:val="22"/>
                <w:highlight w:val="white"/>
              </w:rPr>
              <w:t>Estudos de Ética Antiga</w:t>
            </w:r>
            <w:r w:rsidRPr="0022248F">
              <w:rPr>
                <w:sz w:val="22"/>
                <w:szCs w:val="22"/>
                <w:highlight w:val="white"/>
              </w:rPr>
              <w:t xml:space="preserve">, São Paulo, Discurso Editorial, 2007. </w:t>
            </w:r>
          </w:p>
          <w:p w14:paraId="3521B5E5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ZINGANO, M. A. (ed.)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Sobre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Nicomaquéia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Aristóteles</w:t>
            </w:r>
            <w:r w:rsidRPr="0022248F">
              <w:rPr>
                <w:sz w:val="22"/>
                <w:szCs w:val="22"/>
                <w:highlight w:val="white"/>
              </w:rPr>
              <w:t>. São Paulo, Odysseus, 2010.</w:t>
            </w:r>
          </w:p>
          <w:p w14:paraId="694BD420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Outras referências bibliográficas serão indicadas oportunamente.</w:t>
            </w:r>
          </w:p>
        </w:tc>
      </w:tr>
      <w:tr w:rsidR="006E58EF" w:rsidRPr="0022248F" w14:paraId="038F2714" w14:textId="77777777" w:rsidTr="002F1872">
        <w:tc>
          <w:tcPr>
            <w:tcW w:w="9339" w:type="dxa"/>
            <w:gridSpan w:val="6"/>
            <w:shd w:val="clear" w:color="auto" w:fill="auto"/>
          </w:tcPr>
          <w:p w14:paraId="67ECD408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6E58EF" w:rsidRPr="0022248F" w14:paraId="6FC988EC" w14:textId="77777777" w:rsidTr="002F1872">
        <w:tc>
          <w:tcPr>
            <w:tcW w:w="2160" w:type="dxa"/>
            <w:shd w:val="clear" w:color="auto" w:fill="auto"/>
          </w:tcPr>
          <w:p w14:paraId="25DADA85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0" w:type="dxa"/>
            <w:shd w:val="clear" w:color="auto" w:fill="auto"/>
          </w:tcPr>
          <w:p w14:paraId="57FDF941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455023C1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2E788798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1" w:type="dxa"/>
            <w:shd w:val="clear" w:color="auto" w:fill="auto"/>
          </w:tcPr>
          <w:p w14:paraId="60F69BF2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6E58EF" w:rsidRPr="0022248F" w14:paraId="5EDC5FE8" w14:textId="77777777" w:rsidTr="002F1872">
        <w:tc>
          <w:tcPr>
            <w:tcW w:w="2160" w:type="dxa"/>
            <w:shd w:val="clear" w:color="auto" w:fill="auto"/>
          </w:tcPr>
          <w:p w14:paraId="2196C929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Breno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Zuppolini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14:paraId="30AFF473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6941AF59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17F0E5CA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1" w:type="dxa"/>
            <w:shd w:val="clear" w:color="auto" w:fill="auto"/>
          </w:tcPr>
          <w:p w14:paraId="0FAC44E9" w14:textId="77777777" w:rsidR="006E58EF" w:rsidRPr="0022248F" w:rsidRDefault="006E58EF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01B92FFE" w14:textId="77777777" w:rsidR="006E58EF" w:rsidRDefault="006E58EF">
      <w:bookmarkStart w:id="0" w:name="_GoBack"/>
      <w:bookmarkEnd w:id="0"/>
    </w:p>
    <w:sectPr w:rsidR="006E5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EF"/>
    <w:rsid w:val="006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577F"/>
  <w15:chartTrackingRefBased/>
  <w15:docId w15:val="{CBBF0D60-5FE2-4052-9ED2-005B52BE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0">
    <w:name w:val="30"/>
    <w:basedOn w:val="Tabelanormal"/>
    <w:rsid w:val="006E58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l.edu.br/isp/dissertatio/revistas/34/13.pdf" TargetMode="External"/><Relationship Id="rId5" Type="http://schemas.openxmlformats.org/officeDocument/2006/relationships/hyperlink" Target="http://www.uc.pt/fluc/dfci/publicacoes/as_relacoes_entre_fins_e_meios" TargetMode="External"/><Relationship Id="rId4" Type="http://schemas.openxmlformats.org/officeDocument/2006/relationships/hyperlink" Target="http://www.filosofiaantiga.com/documents/definicaovirtud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4664</Characters>
  <Application>Microsoft Office Word</Application>
  <DocSecurity>0</DocSecurity>
  <Lines>38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2020-04-09T11:59:00Z</dcterms:created>
  <dcterms:modified xsi:type="dcterms:W3CDTF">2020-04-09T12:01:00Z</dcterms:modified>
</cp:coreProperties>
</file>