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62A5D87C" w:rsidR="009332FA" w:rsidRPr="00926594" w:rsidRDefault="008F5379" w:rsidP="00926594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926594">
              <w:rPr>
                <w:rFonts w:ascii="Times New Roman" w:hAnsi="Times New Roman" w:cs="Times New Roman"/>
              </w:rPr>
              <w:t>Filosofia das Ciências Humanas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4D7C582F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926594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926594" w:rsidRPr="00926594">
              <w:rPr>
                <w:rFonts w:ascii="Times New Roman" w:hAnsi="Times New Roman" w:cs="Times New Roman"/>
                <w:bCs/>
              </w:rPr>
              <w:t>90 horas</w:t>
            </w:r>
            <w:r w:rsidR="00926594">
              <w:rPr>
                <w:rFonts w:ascii="Times New Roman" w:hAnsi="Times New Roman" w:cs="Times New Roman"/>
                <w:b w:val="0"/>
                <w:bCs/>
              </w:rPr>
              <w:t xml:space="preserve"> (</w:t>
            </w:r>
            <w:r w:rsidR="00926594" w:rsidRPr="00926594">
              <w:rPr>
                <w:rFonts w:ascii="Times New Roman" w:hAnsi="Times New Roman" w:cs="Times New Roman"/>
                <w:b w:val="0"/>
                <w:bCs/>
              </w:rPr>
              <w:t>73 horas teóricas/ 17 horas práticas)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197BC4D3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594">
              <w:rPr>
                <w:rFonts w:ascii="Times New Roman" w:hAnsi="Times New Roman" w:cs="Times New Roman"/>
                <w:b w:val="0"/>
              </w:rPr>
              <w:t>Henry Burnett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1A17600" w:rsidR="008F5379" w:rsidRPr="00A04FC0" w:rsidRDefault="008F5379" w:rsidP="0092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926594">
              <w:rPr>
                <w:rFonts w:ascii="Times New Roman" w:hAnsi="Times New Roman" w:cs="Times New Roman"/>
                <w:b w:val="0"/>
              </w:rPr>
              <w:t xml:space="preserve"> henry.burnett@unifep.br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926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926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467A7BED" w:rsidR="008F5379" w:rsidRPr="006D07BD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6D07B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6D07BD" w:rsidRP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Leitura comentada da obra </w:t>
            </w:r>
            <w:r w:rsidR="006D07BD" w:rsidRPr="006D07B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</w:rPr>
              <w:t>Os sertões</w:t>
            </w:r>
            <w:r w:rsidR="006D07BD" w:rsidRP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, de Euclides da Cunha</w:t>
            </w:r>
          </w:p>
          <w:p w14:paraId="24CD4FBC" w14:textId="0D82956B" w:rsidR="008F5379" w:rsidRPr="006D07BD" w:rsidRDefault="008F5379" w:rsidP="00744AF0">
            <w:pP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6D07B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6D07BD" w:rsidRP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Lançada em 1902, </w:t>
            </w:r>
            <w:r w:rsidR="006D07BD" w:rsidRPr="006D07B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</w:rPr>
              <w:t>Os sertõe</w:t>
            </w:r>
            <w:r w:rsidR="006D07B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</w:rPr>
              <w:t>s</w:t>
            </w:r>
            <w:r w:rsid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é </w:t>
            </w:r>
            <w:r w:rsid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uma obra multifacetada. Nela se cruzam diversas fontes, que vão da sociologia à filosofia, da história cultural à antropologia, passando ainda 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pela economia e a história. O curso pretende apontar a</w:t>
            </w:r>
            <w:r w:rsidR="00330F8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lgumas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linhas </w:t>
            </w:r>
            <w:r w:rsidR="00330F8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de análise 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no interior de sua monume</w:t>
            </w:r>
            <w:r w:rsidR="000E4A85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ntal construção – ideológica, cultural e literária –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, 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com desta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que para os princípios fundadores</w:t>
            </w:r>
            <w:r w:rsidR="006D6F9E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da então nascente República</w:t>
            </w:r>
            <w:r w:rsidR="00330F8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, do lugar do tipo sertanejo canudense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dentro da caracterização euclidiana</w:t>
            </w:r>
            <w:r w:rsidR="00330F8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, </w:t>
            </w:r>
            <w:r w:rsidR="003C36CC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das fontes míticas constantemente mobilizadas 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pelo autor</w:t>
            </w:r>
            <w:r w:rsidR="003C36CC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em sua tentativa de </w:t>
            </w:r>
            <w:r w:rsidR="00744AF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explicar</w:t>
            </w:r>
            <w:r w:rsidR="003C36CC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o </w:t>
            </w:r>
            <w:r w:rsidR="00744AF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que lhe era 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desconhecido, o bárbaro e o titânico</w:t>
            </w:r>
            <w:r w:rsidR="00744AF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, por exemplo, adjetivos que 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utilizou </w:t>
            </w:r>
            <w:r w:rsidR="00744AF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como epítetos diante da impossibilidade de justificar a </w:t>
            </w:r>
            <w:r w:rsidR="009715C7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Campanha de Canudos 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em meio à sua</w:t>
            </w:r>
            <w:r w:rsidR="0098135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p</w:t>
            </w:r>
            <w:r w:rsidR="009715C7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essoal</w:t>
            </w:r>
            <w:r w:rsidR="000C761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reviravolta ética.</w:t>
            </w:r>
          </w:p>
        </w:tc>
      </w:tr>
      <w:tr w:rsidR="008F5379" w:rsidRPr="00A04FC0" w14:paraId="1D09C359" w14:textId="77777777" w:rsidTr="00926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73D3F24B" w:rsidR="008F5379" w:rsidRPr="006D07BD" w:rsidRDefault="00926594" w:rsidP="00794D9E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A unidade curricular visa examinar a constituição das Ciências Humanas no âmbito da Filosofia Política e de História da Cultura</w:t>
            </w:r>
            <w:r w:rsidR="006D07BD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372C2" w:rsidRPr="00A04FC0" w14:paraId="518817DA" w14:textId="77777777" w:rsidTr="00926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F6EE5FD" w14:textId="020DE69E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C79E5B1" w14:textId="2A7C915B" w:rsidR="00926594" w:rsidRPr="008B79E9" w:rsidRDefault="00926594" w:rsidP="00794D9E">
            <w:pPr>
              <w:jc w:val="both"/>
              <w:rPr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</w:pPr>
            <w:r w:rsidRPr="008B79E9"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  <w:t xml:space="preserve">-  </w:t>
            </w:r>
            <w:r w:rsidR="000C7612" w:rsidRPr="008B79E9">
              <w:rPr>
                <w:rFonts w:ascii="Times New Roman" w:eastAsia="Arial" w:hAnsi="Times New Roman" w:cs="Times New Roman"/>
                <w:b w:val="0"/>
                <w:i/>
                <w:iCs/>
                <w:sz w:val="24"/>
                <w:szCs w:val="24"/>
              </w:rPr>
              <w:t>Os sertões</w:t>
            </w:r>
            <w:r w:rsidR="000C7612" w:rsidRPr="008B79E9">
              <w:rPr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98135D" w:rsidRPr="008B79E9">
              <w:rPr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  <w:t>como texto inaugurador da República</w:t>
            </w:r>
          </w:p>
          <w:p w14:paraId="113E539B" w14:textId="55DDB34F" w:rsidR="00926594" w:rsidRPr="008B79E9" w:rsidRDefault="00926594" w:rsidP="00794D9E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8B79E9"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  <w:t xml:space="preserve">- </w:t>
            </w:r>
            <w:r w:rsidR="0098135D" w:rsidRPr="008B79E9"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  <w:t xml:space="preserve"> </w:t>
            </w:r>
            <w:r w:rsidR="0053619F"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Euclides da Cunha e a interpretação alegórica do sertão</w:t>
            </w:r>
          </w:p>
          <w:p w14:paraId="3DBFCC50" w14:textId="5759F92D" w:rsidR="00926594" w:rsidRPr="008B79E9" w:rsidRDefault="00926594" w:rsidP="0053619F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8B79E9"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  <w:t>-</w:t>
            </w:r>
            <w:r w:rsidR="0053619F"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Referências cruzadas n’</w:t>
            </w:r>
            <w:r w:rsidR="0053619F" w:rsidRPr="008B79E9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</w:rPr>
              <w:t>Os sertões</w:t>
            </w:r>
            <w:r w:rsidR="0053619F"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: cientificismo, </w:t>
            </w:r>
            <w:r w:rsidR="008B79E9"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sociologia</w:t>
            </w:r>
            <w:r w:rsid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, filosofia</w:t>
            </w:r>
            <w:r w:rsidR="008B79E9"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e antropologia</w:t>
            </w:r>
          </w:p>
          <w:p w14:paraId="68CE6867" w14:textId="65AAE4B0" w:rsidR="008B79E9" w:rsidRPr="0053619F" w:rsidRDefault="008B79E9" w:rsidP="0053619F">
            <w:pPr>
              <w:jc w:val="both"/>
              <w:rPr>
                <w:rFonts w:ascii="Times New Roman" w:eastAsia="Arial" w:hAnsi="Times New Roman" w:cs="Times New Roman"/>
              </w:rPr>
            </w:pPr>
            <w:r w:rsidRPr="008B79E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- </w:t>
            </w:r>
            <w:r w:rsidR="00744AF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A mitologia sertaneja, por Euclides da Cunha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263CBF5" w14:textId="77777777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87F37CF" w14:textId="5C683960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>Serão realizadas atividade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s síncronas (via Google Meet)</w:t>
            </w: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 tais como estudos dirigidos, leituras individuais dos textos selecionados e eventuais envios de atividades relacionadas à a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ula dada através do “Classroom”</w:t>
            </w:r>
            <w:r w:rsidR="00794D9E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6E4CF560" w14:textId="77777777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196E4CC7" w14:textId="495DBFDA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Link da turma: </w:t>
            </w:r>
            <w:hyperlink r:id="rId7" w:history="1">
              <w:r w:rsidRPr="006C73C7">
                <w:rPr>
                  <w:rStyle w:val="Hyperlink"/>
                  <w:rFonts w:ascii="Times New Roman" w:hAnsi="Times New Roman" w:cs="Times New Roman"/>
                  <w:b w:val="0"/>
                </w:rPr>
                <w:t>https://classroom.google.com/c/MzY2NTc1NzY4MTM5?cjc=zxqcug3</w:t>
              </w:r>
            </w:hyperlink>
          </w:p>
          <w:p w14:paraId="2CD26B45" w14:textId="77777777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161D75C9" w14:textId="033C6389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Dia da semana: segunda-feira</w:t>
            </w:r>
          </w:p>
          <w:p w14:paraId="6208C7A6" w14:textId="77777777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Horários: </w:t>
            </w:r>
          </w:p>
          <w:p w14:paraId="4EF98FF9" w14:textId="7B2D879A" w:rsid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Vespertino: 14h às 16h </w:t>
            </w: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para os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encontros no Google Meet e 16h às 17h para as atividades assíncronas </w:t>
            </w:r>
          </w:p>
          <w:p w14:paraId="5225C9B7" w14:textId="27F77C4C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Noturno: 19h às </w:t>
            </w:r>
            <w:r w:rsidR="00794D9E">
              <w:rPr>
                <w:rFonts w:ascii="Times New Roman" w:hAnsi="Times New Roman" w:cs="Times New Roman"/>
                <w:b w:val="0"/>
                <w:color w:val="000000"/>
              </w:rPr>
              <w:t>21h</w:t>
            </w: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794D9E"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para os </w:t>
            </w:r>
            <w:r w:rsidR="00794D9E">
              <w:rPr>
                <w:rFonts w:ascii="Times New Roman" w:hAnsi="Times New Roman" w:cs="Times New Roman"/>
                <w:b w:val="0"/>
                <w:color w:val="000000"/>
              </w:rPr>
              <w:t>encontros no Google Meet e 21h às 22h para as atividades assíncronas</w:t>
            </w:r>
          </w:p>
          <w:p w14:paraId="0EB84960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4EE39DD3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1. </w:t>
            </w:r>
            <w:r w:rsidRPr="0029030F">
              <w:rPr>
                <w:rFonts w:ascii="Times New Roman" w:hAnsi="Times New Roman" w:cs="Times New Roman"/>
                <w:color w:val="000000"/>
              </w:rPr>
              <w:t>Encontros síncronos</w:t>
            </w:r>
          </w:p>
          <w:p w14:paraId="0D2A791A" w14:textId="19EA1E4E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>Aulas expositivas e discussão de textos</w:t>
            </w:r>
            <w:r w:rsidR="00000492">
              <w:rPr>
                <w:rFonts w:ascii="Times New Roman" w:hAnsi="Times New Roman" w:cs="Times New Roman"/>
                <w:b w:val="0"/>
                <w:color w:val="000000"/>
              </w:rPr>
              <w:t xml:space="preserve"> através de encontros no Google Meet</w:t>
            </w:r>
          </w:p>
          <w:p w14:paraId="31749EEE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6201EB0C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2. </w:t>
            </w:r>
            <w:r w:rsidRPr="0029030F">
              <w:rPr>
                <w:rFonts w:ascii="Times New Roman" w:hAnsi="Times New Roman" w:cs="Times New Roman"/>
                <w:color w:val="000000"/>
              </w:rPr>
              <w:t>Trabalhos escritos, exercícios e dissertações com peso avaliativo</w:t>
            </w:r>
          </w:p>
          <w:p w14:paraId="7EA31C59" w14:textId="45994B63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>Os temas</w:t>
            </w:r>
            <w:r w:rsidR="0000049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e atividades</w:t>
            </w: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serão informados durante as aulas síncronas </w:t>
            </w:r>
            <w:r w:rsidR="001367C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e </w:t>
            </w: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>por mensagens no Classroom</w:t>
            </w:r>
            <w:r w:rsidR="001367C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da turma</w:t>
            </w:r>
          </w:p>
          <w:p w14:paraId="52837F3D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19B51936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3. </w:t>
            </w:r>
            <w:r w:rsidRPr="0029030F">
              <w:rPr>
                <w:rFonts w:ascii="Times New Roman" w:hAnsi="Times New Roman" w:cs="Times New Roman"/>
                <w:color w:val="000000"/>
              </w:rPr>
              <w:t>Alternativas para os alunos que não puderem participar dos encontros síncronos (via Classroom):</w:t>
            </w:r>
          </w:p>
          <w:p w14:paraId="5394DC1F" w14:textId="54A4C0E4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Leituras e comentários dos textos indicados </w:t>
            </w:r>
            <w:r w:rsidR="00000492">
              <w:rPr>
                <w:rFonts w:ascii="Times New Roman" w:hAnsi="Times New Roman" w:cs="Times New Roman"/>
                <w:b w:val="0"/>
                <w:bCs/>
                <w:color w:val="000000"/>
              </w:rPr>
              <w:t>(cf. cronograma das atividades)</w:t>
            </w:r>
          </w:p>
          <w:p w14:paraId="10CD7140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347E4B83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color w:val="000000"/>
              </w:rPr>
              <w:t xml:space="preserve">4. </w:t>
            </w:r>
            <w:r w:rsidRPr="0029030F">
              <w:rPr>
                <w:rFonts w:ascii="Times New Roman" w:hAnsi="Times New Roman" w:cs="Times New Roman"/>
                <w:color w:val="000000"/>
              </w:rPr>
              <w:t>Leituras complementares para o acompanhamento das aulas e estudo dos textos e orientações de estudo.</w:t>
            </w:r>
          </w:p>
          <w:p w14:paraId="6C23C152" w14:textId="77777777" w:rsidR="0029030F" w:rsidRPr="0029030F" w:rsidRDefault="0029030F" w:rsidP="0029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>Conferir cronograma das atividades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81AF2FD" w14:textId="57D771E8" w:rsidR="007B4F68" w:rsidRPr="00000492" w:rsidRDefault="00A04FC0" w:rsidP="0000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  <w:r w:rsidR="00000492" w:rsidRPr="00000492">
              <w:rPr>
                <w:rFonts w:ascii="Times New Roman" w:hAnsi="Times New Roman" w:cs="Times New Roman"/>
                <w:b w:val="0"/>
                <w:bCs/>
              </w:rPr>
              <w:t>P</w:t>
            </w:r>
            <w:r w:rsidR="00F95C5D" w:rsidRPr="00000492">
              <w:rPr>
                <w:rFonts w:ascii="Times New Roman" w:hAnsi="Times New Roman" w:cs="Times New Roman"/>
                <w:b w:val="0"/>
                <w:bCs/>
              </w:rPr>
              <w:t>ara o</w:t>
            </w:r>
            <w:r w:rsidR="007D5B9D" w:rsidRPr="00000492">
              <w:rPr>
                <w:rFonts w:ascii="Times New Roman" w:hAnsi="Times New Roman" w:cs="Times New Roman"/>
                <w:b w:val="0"/>
                <w:bCs/>
              </w:rPr>
              <w:t>s</w:t>
            </w:r>
            <w:r w:rsidR="00F95C5D" w:rsidRPr="00000492">
              <w:rPr>
                <w:rFonts w:ascii="Times New Roman" w:hAnsi="Times New Roman" w:cs="Times New Roman"/>
                <w:b w:val="0"/>
                <w:bCs/>
              </w:rPr>
              <w:t xml:space="preserve"> alunos que não pu</w:t>
            </w:r>
            <w:r w:rsidR="007D5B9D" w:rsidRPr="00000492">
              <w:rPr>
                <w:rFonts w:ascii="Times New Roman" w:hAnsi="Times New Roman" w:cs="Times New Roman"/>
                <w:b w:val="0"/>
                <w:bCs/>
              </w:rPr>
              <w:t>derem acompanhar os encontros síncronos</w:t>
            </w:r>
            <w:r w:rsidR="00000492">
              <w:rPr>
                <w:rFonts w:ascii="Times New Roman" w:hAnsi="Times New Roman" w:cs="Times New Roman"/>
                <w:b w:val="0"/>
                <w:bCs/>
              </w:rPr>
              <w:t>, haverá uma lista de leituras e atividades que devem ser realizadas nos horários indicados ou dentro das possibilidades pessoais de cada um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358800CD" w14:textId="62A889FD" w:rsidR="00000492" w:rsidRPr="0029030F" w:rsidRDefault="00000492" w:rsidP="0000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9030F">
              <w:rPr>
                <w:rFonts w:ascii="Times New Roman" w:hAnsi="Times New Roman" w:cs="Times New Roman"/>
                <w:b w:val="0"/>
                <w:bCs/>
                <w:color w:val="000000"/>
              </w:rPr>
              <w:t>Todo material do curso será disponibilizado através do Classroom, na pasta do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Google Drive vinculada à turma on-line</w:t>
            </w:r>
          </w:p>
          <w:p w14:paraId="16628929" w14:textId="4A3D879A" w:rsidR="00BE5183" w:rsidRPr="00A04FC0" w:rsidRDefault="00BE5183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B181DBA" w14:textId="0C19D603" w:rsidR="004905F2" w:rsidRPr="00000492" w:rsidRDefault="000069B0" w:rsidP="000004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CBFE27F" w14:textId="77777777" w:rsidR="0098135D" w:rsidRPr="006A10B7" w:rsidRDefault="0098135D" w:rsidP="006A10B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992CE4" w14:textId="77777777" w:rsidR="00601B6A" w:rsidRPr="0098135D" w:rsidRDefault="00601B6A" w:rsidP="00601B6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BERNUCCI, L. M. (org.).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Discurso, Ciência e Controvérsia em Euclides da Cunha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Edusp, 2008.</w:t>
            </w:r>
          </w:p>
          <w:p w14:paraId="724E4121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BURKE, P. (1989).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A cultura popular na idade moderna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Companhia das Letras.</w:t>
            </w:r>
          </w:p>
          <w:p w14:paraId="3F25720B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CANDIDO, A. (2002). Euclides da Cunha, sociólogo. In: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Textos de intervenção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Seleção, apresentação e notas de Vinicius Dantas. São Paulo: Ed. 34; Duas Cidades, pp. 174-182.</w:t>
            </w:r>
          </w:p>
          <w:p w14:paraId="1A94EEEF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CUNHA, E. (1999)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À margem da história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Martins Fontes (Temas brasileiros).</w:t>
            </w:r>
          </w:p>
          <w:p w14:paraId="5E9EFF9E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__________. (2009).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Poesia reunida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Organização, estabelecimento de textos, introduções, notas e índices: Leopoldo Bernucci e Francisco Foot Hardman. São Paulo: Editora UNESP.</w:t>
            </w:r>
          </w:p>
          <w:p w14:paraId="14C14477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__________. (2016).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Os sertões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Edição crítica e organização: Walnice Nogueira Galvão. São Paulo: Ubu Editora / Edições SESC São Paulo.</w:t>
            </w:r>
          </w:p>
          <w:p w14:paraId="556C4A91" w14:textId="77777777" w:rsid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 (2018).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Os sertões (Campanha de Canudos)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Edição, prefácio, cronologia, notas e 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índices Leopoldo M. Bernucci. - 5ª ed. - Cotia, SP: Ateliê Editorial; São Paulo: SESI-SP editora (Coleção Clássicos Comentados).</w:t>
            </w:r>
          </w:p>
          <w:p w14:paraId="720D9C88" w14:textId="2731A8B3" w:rsidR="002D6B49" w:rsidRPr="00E05FE7" w:rsidRDefault="002D6B49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FREYRE, G. </w:t>
            </w:r>
            <w:r w:rsidR="00E05FE7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Perfil de Euclides e outros perfis</w:t>
            </w:r>
            <w:r w:rsidR="00E05FE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Global, 2013.</w:t>
            </w:r>
          </w:p>
          <w:p w14:paraId="558F5DC2" w14:textId="77777777" w:rsidR="0098135D" w:rsidRPr="0098135D" w:rsidRDefault="0098135D" w:rsidP="0098135D">
            <w:pPr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NIETZSCHE, F. (2020)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O nascimento da tragédia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Tradução e notas Paulo César de Souza. São Paulo: Companhia das Letras.</w:t>
            </w:r>
          </w:p>
          <w:p w14:paraId="780CC8A5" w14:textId="77777777" w:rsidR="0098135D" w:rsidRPr="0098135D" w:rsidRDefault="0098135D" w:rsidP="0098135D">
            <w:pPr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 ().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A gaia ciência.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Tradução e notas Paulo César de Souza. São Paulo: Companhia das Letras.</w:t>
            </w:r>
          </w:p>
          <w:p w14:paraId="1D7A54BC" w14:textId="77777777" w:rsidR="0098135D" w:rsidRPr="0098135D" w:rsidRDefault="0098135D" w:rsidP="0098135D">
            <w:pPr>
              <w:ind w:left="426" w:hanging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ROSA, G. (2019).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Grande sertão: veredas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Companhia das Letras, 22ª ed.</w:t>
            </w:r>
          </w:p>
          <w:p w14:paraId="79116E42" w14:textId="77777777" w:rsidR="0098135D" w:rsidRPr="0098135D" w:rsidRDefault="0098135D" w:rsidP="0098135D">
            <w:pPr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VENTURA, R. (2019). 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A terra, o homem, a luta: 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um guia para a leitura de </w:t>
            </w:r>
            <w:r w:rsidRPr="0098135D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Os sertões</w:t>
            </w:r>
            <w:r w:rsidRPr="0098135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Três estrelas,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3C3AA320" w:rsidR="00A46BD6" w:rsidRPr="00A04FC0" w:rsidRDefault="009715C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Henry Burnett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090DF9D" w:rsidR="00A46BD6" w:rsidRPr="00A04FC0" w:rsidRDefault="009715C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0315A" w14:textId="77777777" w:rsidR="009715C7" w:rsidRDefault="009715C7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D657F" w14:textId="7813BB95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lastRenderedPageBreak/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926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92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FB9C5B9" w14:textId="77777777" w:rsidR="009715C7" w:rsidRDefault="009715C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15166D09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2817ECE1" w14:textId="77777777" w:rsidR="009715C7" w:rsidRPr="00A04FC0" w:rsidRDefault="009715C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6D3F" w14:textId="1ECBEC3F" w:rsidR="009715C7" w:rsidRPr="007A3269" w:rsidRDefault="007A3269" w:rsidP="009715C7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Horários: 14h às 16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das 19h às 21h.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Atividade I (dias 4 e 11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 sertões</w:t>
            </w:r>
            <w:r w:rsidR="0000049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 panorama</w:t>
            </w:r>
          </w:p>
          <w:p w14:paraId="507A1C58" w14:textId="77777777" w:rsidR="00000492" w:rsidRDefault="007A3269" w:rsidP="009715C7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Atividade II (dias 1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“A terra”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Atividade III (dia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e 08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000492">
              <w:rPr>
                <w:rFonts w:ascii="Times New Roman" w:hAnsi="Times New Roman" w:cs="Times New Roman"/>
                <w:bCs/>
                <w:sz w:val="24"/>
                <w:szCs w:val="24"/>
              </w:rPr>
              <w:t>O livro e sua recepção</w:t>
            </w:r>
          </w:p>
          <w:p w14:paraId="2C53C65B" w14:textId="6E0EFFD9" w:rsidR="009715C7" w:rsidRPr="002D5F21" w:rsidRDefault="007A3269" w:rsidP="009715C7">
            <w:pPr>
              <w:spacing w:before="0"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Atividade IV (dia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29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11): 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“O homem”</w:t>
            </w:r>
            <w:r w:rsidR="009715C7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Atividade V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6, 13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 </w:t>
            </w:r>
            <w:r w:rsidR="002D5F21">
              <w:rPr>
                <w:rFonts w:ascii="Times New Roman" w:hAnsi="Times New Roman" w:cs="Times New Roman"/>
                <w:bCs/>
                <w:sz w:val="24"/>
                <w:szCs w:val="24"/>
              </w:rPr>
              <w:t>Cultura e reconhecimento n’</w:t>
            </w:r>
            <w:r w:rsidR="002D5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 sertões</w:t>
            </w:r>
          </w:p>
          <w:p w14:paraId="34661254" w14:textId="305EADBE" w:rsidR="008A4B9F" w:rsidRPr="009715C7" w:rsidRDefault="009715C7" w:rsidP="00AB4C9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>VI (dia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s 0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, 10, 17, 24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3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“A luta”</w:t>
            </w:r>
            <w:r w:rsidR="007A3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5F48815A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A481" w14:textId="77777777" w:rsidR="009715C7" w:rsidRDefault="009715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7B9750D4" w:rsidR="009715C7" w:rsidRPr="00A04FC0" w:rsidRDefault="009715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779E4730" w:rsidR="001741EF" w:rsidRPr="00A04FC0" w:rsidRDefault="001741EF" w:rsidP="0092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04204AB" w14:textId="77777777" w:rsidR="009715C7" w:rsidRDefault="009715C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E9FA" w14:textId="42739198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9715C7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DAA2" w14:textId="531133C0" w:rsidR="009715C7" w:rsidRPr="00000492" w:rsidRDefault="007A3269" w:rsidP="0097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Atividade I (dias 4 e 11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0E4072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  <w:r w:rsidR="0065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itura </w:t>
            </w:r>
            <w:r w:rsidR="002C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comentário </w:t>
            </w:r>
            <w:r w:rsidR="006520AB">
              <w:rPr>
                <w:rFonts w:ascii="Times New Roman" w:hAnsi="Times New Roman" w:cs="Times New Roman"/>
                <w:bCs/>
                <w:sz w:val="24"/>
                <w:szCs w:val="24"/>
              </w:rPr>
              <w:t>do artigo</w:t>
            </w:r>
            <w:r w:rsidR="0000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Roberto Ventura, </w:t>
            </w:r>
            <w:r w:rsidR="006520AB" w:rsidRPr="0065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“Canudos como cidade iletrada: Euclides da Cunha na </w:t>
            </w:r>
            <w:proofErr w:type="spellStart"/>
            <w:r w:rsidR="006520AB" w:rsidRPr="00652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urbs</w:t>
            </w:r>
            <w:proofErr w:type="spellEnd"/>
            <w:r w:rsidR="006520AB" w:rsidRPr="00652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520AB" w:rsidRPr="006520AB">
              <w:rPr>
                <w:rFonts w:ascii="Times New Roman" w:hAnsi="Times New Roman" w:cs="Times New Roman"/>
                <w:bCs/>
                <w:sz w:val="24"/>
                <w:szCs w:val="24"/>
              </w:rPr>
              <w:t>monstruosa”</w:t>
            </w:r>
          </w:p>
          <w:p w14:paraId="14F54621" w14:textId="2F4C4733" w:rsidR="001A441A" w:rsidRDefault="007A3269" w:rsidP="0097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Atividade II (dias 18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00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Leitura </w:t>
            </w:r>
            <w:r w:rsidR="002C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comentários </w:t>
            </w:r>
            <w:r w:rsidR="00000492">
              <w:rPr>
                <w:rFonts w:ascii="Times New Roman" w:hAnsi="Times New Roman" w:cs="Times New Roman"/>
                <w:bCs/>
                <w:sz w:val="24"/>
                <w:szCs w:val="24"/>
              </w:rPr>
              <w:t>da seção “A terra”, d’</w:t>
            </w:r>
            <w:r w:rsidR="000004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 sertões</w:t>
            </w:r>
            <w:r w:rsidR="009715C7" w:rsidRPr="0097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Atividade III (dias 01 e 08</w:t>
            </w:r>
            <w:r w:rsidR="00AB4C9D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B4C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B4C9D"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 w:rsidR="001A4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Leitura </w:t>
            </w:r>
            <w:r w:rsidR="002C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comentário </w:t>
            </w:r>
            <w:r w:rsidR="001A4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 w:rsidR="00BD626F">
              <w:rPr>
                <w:rFonts w:ascii="Times New Roman" w:hAnsi="Times New Roman" w:cs="Times New Roman"/>
                <w:bCs/>
                <w:sz w:val="24"/>
                <w:szCs w:val="24"/>
              </w:rPr>
              <w:t>texto “Perfil de Euclides da Cunha”, de Gilberto Freyre</w:t>
            </w:r>
          </w:p>
          <w:p w14:paraId="30DD444E" w14:textId="2015D14C" w:rsidR="009715C7" w:rsidRPr="009715C7" w:rsidRDefault="00AB4C9D" w:rsidP="0097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Atividade IV (dias 15, 22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29</w:t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11):</w:t>
            </w:r>
            <w:r w:rsidR="001A4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Leitura </w:t>
            </w:r>
            <w:r w:rsidR="002C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comentário </w:t>
            </w:r>
            <w:r w:rsidR="001A441A">
              <w:rPr>
                <w:rFonts w:ascii="Times New Roman" w:hAnsi="Times New Roman" w:cs="Times New Roman"/>
                <w:bCs/>
                <w:sz w:val="24"/>
                <w:szCs w:val="24"/>
              </w:rPr>
              <w:t>da seção “O homem”, d’</w:t>
            </w:r>
            <w:r w:rsidR="001A44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 sertões</w:t>
            </w:r>
            <w:r w:rsidR="009715C7" w:rsidRPr="0097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>Atividade V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dias 06, 13 e 20/12): </w:t>
            </w:r>
            <w:r w:rsidR="002C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Leitura e comentário do </w:t>
            </w:r>
            <w:r w:rsidR="002D6B49">
              <w:rPr>
                <w:rFonts w:ascii="Times New Roman" w:hAnsi="Times New Roman" w:cs="Times New Roman"/>
                <w:bCs/>
                <w:sz w:val="24"/>
                <w:szCs w:val="24"/>
              </w:rPr>
              <w:t>texto “Euclides da Cunha sociólogo”, de Antonio Candido</w:t>
            </w:r>
          </w:p>
          <w:p w14:paraId="2E0B434C" w14:textId="4F07936C" w:rsidR="008A4B9F" w:rsidRPr="001A441A" w:rsidRDefault="00AB4C9D" w:rsidP="003B69A0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(dias 03, 10, 17, 24 e 31/01): </w:t>
            </w:r>
            <w:r w:rsidR="002D6B49">
              <w:rPr>
                <w:rFonts w:ascii="Times New Roman" w:hAnsi="Times New Roman" w:cs="Times New Roman"/>
                <w:bCs/>
                <w:sz w:val="24"/>
                <w:szCs w:val="24"/>
              </w:rPr>
              <w:t>Leitura e comentários da seção “A luta”, d’</w:t>
            </w:r>
            <w:r w:rsidR="002D6B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 sertões</w:t>
            </w: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E5AE3C5" w:rsidR="00372AA5" w:rsidRPr="00A04FC0" w:rsidRDefault="009715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22h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92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3976587F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92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24E32D7D" w:rsidR="00CA0C06" w:rsidRPr="009715C7" w:rsidRDefault="009715C7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926594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6AE1818" w14:textId="77777777" w:rsidR="00A06615" w:rsidRDefault="004B6F1B" w:rsidP="00971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7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F59971" w14:textId="4A91CE8F" w:rsidR="006A10B7" w:rsidRPr="00592518" w:rsidRDefault="009715C7" w:rsidP="00971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FF8" w14:textId="77777777" w:rsidR="00A3061D" w:rsidRDefault="00A3061D" w:rsidP="003D7D73">
      <w:pPr>
        <w:spacing w:before="0" w:after="0"/>
      </w:pPr>
      <w:r>
        <w:separator/>
      </w:r>
    </w:p>
  </w:endnote>
  <w:endnote w:type="continuationSeparator" w:id="0">
    <w:p w14:paraId="594A551D" w14:textId="77777777" w:rsidR="00A3061D" w:rsidRDefault="00A3061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657" w14:textId="77777777" w:rsidR="00A3061D" w:rsidRDefault="00A3061D" w:rsidP="003D7D73">
      <w:pPr>
        <w:spacing w:before="0" w:after="0"/>
      </w:pPr>
      <w:r>
        <w:separator/>
      </w:r>
    </w:p>
  </w:footnote>
  <w:footnote w:type="continuationSeparator" w:id="0">
    <w:p w14:paraId="2E61B01D" w14:textId="77777777" w:rsidR="00A3061D" w:rsidRDefault="00A3061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2D6B49" w:rsidRPr="007D13B3" w:rsidRDefault="002D6B49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2D6B49" w:rsidRPr="007D13B3" w:rsidRDefault="002D6B49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2D6B49" w:rsidRPr="007D13B3" w:rsidRDefault="002D6B49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2D6B49" w:rsidRPr="004A4747" w:rsidRDefault="002D6B49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2D6B49" w:rsidRDefault="002D6B49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D6B49" w:rsidRPr="008C7160" w:rsidRDefault="002D6B49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3"/>
    <w:rsid w:val="00000492"/>
    <w:rsid w:val="00003C21"/>
    <w:rsid w:val="000069B0"/>
    <w:rsid w:val="00021D54"/>
    <w:rsid w:val="000574AE"/>
    <w:rsid w:val="00062157"/>
    <w:rsid w:val="00066EF9"/>
    <w:rsid w:val="000B64E4"/>
    <w:rsid w:val="000C14BA"/>
    <w:rsid w:val="000C7612"/>
    <w:rsid w:val="000D5B3B"/>
    <w:rsid w:val="000E0A67"/>
    <w:rsid w:val="000E4072"/>
    <w:rsid w:val="000E4A85"/>
    <w:rsid w:val="000E781C"/>
    <w:rsid w:val="000F4381"/>
    <w:rsid w:val="001026A3"/>
    <w:rsid w:val="001128EE"/>
    <w:rsid w:val="0012761A"/>
    <w:rsid w:val="001367C1"/>
    <w:rsid w:val="00161219"/>
    <w:rsid w:val="001741EF"/>
    <w:rsid w:val="00187C52"/>
    <w:rsid w:val="001A05F6"/>
    <w:rsid w:val="001A0BB2"/>
    <w:rsid w:val="001A392F"/>
    <w:rsid w:val="001A441A"/>
    <w:rsid w:val="001C7884"/>
    <w:rsid w:val="001E0B86"/>
    <w:rsid w:val="001E0E91"/>
    <w:rsid w:val="001E3EA8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030F"/>
    <w:rsid w:val="00291113"/>
    <w:rsid w:val="0029713F"/>
    <w:rsid w:val="002B1DFD"/>
    <w:rsid w:val="002C6917"/>
    <w:rsid w:val="002D421D"/>
    <w:rsid w:val="002D5F21"/>
    <w:rsid w:val="002D6B49"/>
    <w:rsid w:val="00314D10"/>
    <w:rsid w:val="00330F82"/>
    <w:rsid w:val="003372C2"/>
    <w:rsid w:val="003412BE"/>
    <w:rsid w:val="003431DF"/>
    <w:rsid w:val="003434FE"/>
    <w:rsid w:val="003658CA"/>
    <w:rsid w:val="00372AA5"/>
    <w:rsid w:val="003731EC"/>
    <w:rsid w:val="003A3B61"/>
    <w:rsid w:val="003B69A0"/>
    <w:rsid w:val="003C36CC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619F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B4ACD"/>
    <w:rsid w:val="005C362C"/>
    <w:rsid w:val="005C7751"/>
    <w:rsid w:val="005E4FC1"/>
    <w:rsid w:val="0060104B"/>
    <w:rsid w:val="00601B6A"/>
    <w:rsid w:val="00603178"/>
    <w:rsid w:val="00625CD1"/>
    <w:rsid w:val="006357D6"/>
    <w:rsid w:val="006520AB"/>
    <w:rsid w:val="00661652"/>
    <w:rsid w:val="006865A0"/>
    <w:rsid w:val="006A10B7"/>
    <w:rsid w:val="006B1D58"/>
    <w:rsid w:val="006C3D21"/>
    <w:rsid w:val="006C4F3E"/>
    <w:rsid w:val="006D07BD"/>
    <w:rsid w:val="006D6F9E"/>
    <w:rsid w:val="00717F4C"/>
    <w:rsid w:val="00725FC0"/>
    <w:rsid w:val="00737244"/>
    <w:rsid w:val="007400D7"/>
    <w:rsid w:val="00742D0B"/>
    <w:rsid w:val="00744AF0"/>
    <w:rsid w:val="00767411"/>
    <w:rsid w:val="00794D9E"/>
    <w:rsid w:val="007A1478"/>
    <w:rsid w:val="007A3269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B79E9"/>
    <w:rsid w:val="008C6174"/>
    <w:rsid w:val="008C7160"/>
    <w:rsid w:val="008F2271"/>
    <w:rsid w:val="008F5379"/>
    <w:rsid w:val="00926594"/>
    <w:rsid w:val="009332FA"/>
    <w:rsid w:val="00960464"/>
    <w:rsid w:val="009715C7"/>
    <w:rsid w:val="0098135D"/>
    <w:rsid w:val="00986834"/>
    <w:rsid w:val="009877A0"/>
    <w:rsid w:val="009A102C"/>
    <w:rsid w:val="009A5713"/>
    <w:rsid w:val="009B5E2B"/>
    <w:rsid w:val="00A04FC0"/>
    <w:rsid w:val="00A06615"/>
    <w:rsid w:val="00A126F9"/>
    <w:rsid w:val="00A3061D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4C9D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D626F"/>
    <w:rsid w:val="00BE4407"/>
    <w:rsid w:val="00BE5183"/>
    <w:rsid w:val="00BE72A6"/>
    <w:rsid w:val="00C044DA"/>
    <w:rsid w:val="00C05908"/>
    <w:rsid w:val="00C14D9C"/>
    <w:rsid w:val="00C74608"/>
    <w:rsid w:val="00C87F15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05FE7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A09D5346-B591-4C44-92BB-CE2F941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0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0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zY2NTc1NzY4MTM5?cjc=zxqcug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2021-06-28T12:28:00Z</dcterms:created>
  <dcterms:modified xsi:type="dcterms:W3CDTF">2021-08-18T13:53:00Z</dcterms:modified>
</cp:coreProperties>
</file>