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8F28B" w14:textId="28EDD849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7DBC3006" w14:textId="19076F63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26231180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6A03FA9A" w14:textId="015EDA45" w:rsidR="009332FA" w:rsidRPr="00A04FC0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 xml:space="preserve">:  </w:t>
            </w:r>
          </w:p>
          <w:p w14:paraId="450E12E0" w14:textId="66F8E46B" w:rsidR="009332FA" w:rsidRPr="005705FE" w:rsidRDefault="007F7F81" w:rsidP="008F2271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7F7F81">
              <w:rPr>
                <w:rFonts w:ascii="Times New Roman" w:hAnsi="Times New Roman" w:cs="Times New Roman"/>
                <w:b w:val="0"/>
                <w:bCs/>
                <w:color w:val="000000" w:themeColor="text1"/>
              </w:rPr>
              <w:t>História da Filosofia Antiga I</w:t>
            </w:r>
          </w:p>
        </w:tc>
      </w:tr>
      <w:tr w:rsidR="00F84B16" w:rsidRPr="00A04FC0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32EA8229" w:rsidR="00F84B16" w:rsidRPr="005705FE" w:rsidRDefault="008F5379" w:rsidP="00BE5183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7F7F81">
              <w:rPr>
                <w:rFonts w:ascii="Times New Roman" w:hAnsi="Times New Roman" w:cs="Times New Roman"/>
                <w:b w:val="0"/>
                <w:bCs/>
              </w:rPr>
              <w:t xml:space="preserve"> 90h</w:t>
            </w:r>
          </w:p>
        </w:tc>
      </w:tr>
      <w:tr w:rsidR="008F5379" w:rsidRPr="00A04FC0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55AD0D4B" w14:textId="0250B240" w:rsidR="008F5379" w:rsidRPr="00A04FC0" w:rsidRDefault="007F7F81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Breno Zuppolini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A23CC9B" w14:textId="77777777" w:rsidR="008F5379" w:rsidRDefault="008F5379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</w:p>
          <w:p w14:paraId="5D0593F6" w14:textId="55A50249" w:rsidR="007F7F81" w:rsidRPr="00A04FC0" w:rsidRDefault="007F7F81" w:rsidP="00CA05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breno.zuppolini@unifesp.br</w:t>
            </w:r>
          </w:p>
        </w:tc>
      </w:tr>
      <w:tr w:rsidR="003D7D73" w:rsidRPr="00A04FC0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0B787B71" w:rsidR="00261EB7" w:rsidRPr="00A04FC0" w:rsidRDefault="003D7D73" w:rsidP="00CA055A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7F7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12645038" w:rsidR="003D7D73" w:rsidRPr="00A04FC0" w:rsidRDefault="003D7D73" w:rsidP="00CA05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7F7F81">
              <w:rPr>
                <w:rFonts w:ascii="Times New Roman" w:hAnsi="Times New Roman" w:cs="Times New Roman"/>
              </w:rPr>
              <w:t>1</w:t>
            </w:r>
            <w:r w:rsidR="00BE5183" w:rsidRPr="00A04FC0">
              <w:rPr>
                <w:rFonts w:ascii="Times New Roman" w:hAnsi="Times New Roman" w:cs="Times New Roman"/>
              </w:rPr>
              <w:t>º SEMESTRE</w:t>
            </w:r>
          </w:p>
        </w:tc>
      </w:tr>
      <w:tr w:rsidR="008F5379" w:rsidRPr="00A04FC0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EB5E47C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7859A98A" w14:textId="7E0BB375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  <w:r w:rsidR="007F7F81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</w:p>
          <w:p w14:paraId="21F0928E" w14:textId="0C8B37A4" w:rsidR="007F7F81" w:rsidRPr="007F7F81" w:rsidRDefault="007F7F81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Permitir aos discentes o desenvolvimento de competências para ler e interpretar textos da filosofia grega clássica, assim como reconstruir e comparar as teorias de seus respectivos autores.</w:t>
            </w:r>
          </w:p>
          <w:p w14:paraId="67E5E577" w14:textId="77777777" w:rsidR="008F5379" w:rsidRDefault="008F5379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24CD4FBC" w14:textId="05AE3980" w:rsidR="007F7F81" w:rsidRPr="00A04FC0" w:rsidRDefault="007F7F81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Oferecer aos discentes uma introdução a temas clássicos de epistemologia na antiguidade</w:t>
            </w:r>
            <w:r w:rsidR="005651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</w:tr>
      <w:tr w:rsidR="008F5379" w:rsidRPr="00A04FC0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0CBD468" w14:textId="0B7989C6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0A5C9697" w14:textId="230BA145" w:rsidR="008F5379" w:rsidRPr="007F7F81" w:rsidRDefault="007F7F81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bCs/>
                <w:smallCaps/>
                <w:color w:val="C00000"/>
              </w:rPr>
            </w:pPr>
            <w:r w:rsidRPr="007F7F81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 unidade curricular examina textos fundadores da filosofia ocidental e valores associados na cultura greco-romana.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</w:tc>
      </w:tr>
      <w:tr w:rsidR="003372C2" w:rsidRPr="00A04FC0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E68C25A" w14:textId="6BD35509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6B8E2820" w14:textId="478F729C" w:rsidR="001445A6" w:rsidRPr="006B246E" w:rsidRDefault="001445A6" w:rsidP="001445A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</w:pPr>
            <w:r w:rsidRPr="006B246E"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  <w:t xml:space="preserve">Questões Centrais </w:t>
            </w:r>
          </w:p>
          <w:p w14:paraId="3734CCE4" w14:textId="123752A7" w:rsidR="001445A6" w:rsidRDefault="001445A6" w:rsidP="001445A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Q1: O que é </w:t>
            </w:r>
            <w:r w:rsidRPr="001445A6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epist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ê</w:t>
            </w:r>
            <w:r w:rsidRPr="001445A6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="0004519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por oposição a outros estados cognitivos</w:t>
            </w:r>
            <w:r w:rsidR="0004519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?</w:t>
            </w:r>
          </w:p>
          <w:p w14:paraId="763BA678" w14:textId="20CC7CAA" w:rsidR="001445A6" w:rsidRDefault="001445A6" w:rsidP="001445A6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Q</w:t>
            </w:r>
            <w:r w:rsidR="0004519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: </w:t>
            </w:r>
            <w:r w:rsidR="0042492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possível </w:t>
            </w:r>
            <w:r w:rsidR="009A5184" w:rsidRPr="001445A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adquiri</w:t>
            </w:r>
            <w:r w:rsidR="009A5184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r</w:t>
            </w:r>
            <w:r w:rsidR="009A5184" w:rsidRPr="001445A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mos</w:t>
            </w:r>
            <w:r w:rsidRPr="001445A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1445A6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epist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ê</w:t>
            </w:r>
            <w:r w:rsidRPr="001445A6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a partir de um estado de ignorância?</w:t>
            </w:r>
            <w:r w:rsidR="0042492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Como?</w:t>
            </w:r>
          </w:p>
          <w:p w14:paraId="4EF7F687" w14:textId="4C6AEABC" w:rsidR="0004519C" w:rsidRDefault="001445A6" w:rsidP="006A10B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Q</w:t>
            </w:r>
            <w:r w:rsidR="0004519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: Qual a contribuição das faculdades perceptivas no processo de aquisição da </w:t>
            </w:r>
            <w:r w:rsidRPr="001445A6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epist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ê</w:t>
            </w:r>
            <w:r w:rsidRPr="001445A6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?</w:t>
            </w:r>
          </w:p>
          <w:p w14:paraId="0272D796" w14:textId="4D36F733" w:rsidR="0042492C" w:rsidRDefault="0042492C" w:rsidP="006A10B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50B63505" w14:textId="77777777" w:rsidR="00AE00DD" w:rsidRPr="0042492C" w:rsidRDefault="00AE00DD" w:rsidP="006A10B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11B1C022" w14:textId="10169FAA" w:rsidR="00565100" w:rsidRDefault="00565100" w:rsidP="006A10B7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</w:pPr>
            <w:r w:rsidRPr="00565100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  <w:u w:val="single"/>
              </w:rPr>
              <w:lastRenderedPageBreak/>
              <w:t>Mênon</w:t>
            </w:r>
            <w:r w:rsidRPr="00565100"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  <w:t>, de Platão</w:t>
            </w:r>
          </w:p>
          <w:p w14:paraId="3F444D42" w14:textId="6FF6DF15" w:rsidR="00565100" w:rsidRPr="00330E56" w:rsidRDefault="00565100" w:rsidP="00330E56">
            <w:pPr>
              <w:snapToGrid w:val="0"/>
              <w:spacing w:before="0" w:after="0"/>
              <w:jc w:val="both"/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</w:pPr>
            <w:r w:rsidRPr="0056510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O </w:t>
            </w:r>
            <w:r w:rsidRPr="00565100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Elenchus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Socrático; Tese da Prioridade da Definição; A Falácia Socrática.</w:t>
            </w:r>
            <w:r w:rsidR="00330E5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34FCED98" w14:textId="6CD9271B" w:rsidR="00565100" w:rsidRDefault="00565100" w:rsidP="00330E56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</w:t>
            </w:r>
            <w:r w:rsidR="001445A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 Paradoxo de Mênon; Teoria da Rememoração</w:t>
            </w:r>
          </w:p>
          <w:p w14:paraId="7C64478A" w14:textId="61BE2806" w:rsidR="00330E56" w:rsidRDefault="001445A6" w:rsidP="00330E56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Conhecimento como crença</w:t>
            </w:r>
            <w:r w:rsidR="006B246E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/opinião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verdadeira + enunciado explicativo/causal</w:t>
            </w:r>
            <w:r w:rsidR="00330E56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. </w:t>
            </w:r>
          </w:p>
          <w:p w14:paraId="495DE217" w14:textId="77777777" w:rsidR="00330E56" w:rsidRDefault="00330E56" w:rsidP="00330E56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213F9634" w14:textId="77777777" w:rsidR="00330E56" w:rsidRPr="00330E56" w:rsidRDefault="00330E56" w:rsidP="00330E56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</w:pPr>
            <w:r w:rsidRPr="00330E56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  <w:u w:val="single"/>
              </w:rPr>
              <w:t>Teeteto</w:t>
            </w:r>
            <w:r w:rsidRPr="00330E56"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  <w:t>, de Platão</w:t>
            </w:r>
          </w:p>
          <w:p w14:paraId="74080704" w14:textId="571259B3" w:rsidR="00330E56" w:rsidRDefault="00330E56" w:rsidP="00330E56">
            <w:pPr>
              <w:jc w:val="both"/>
              <w:rPr>
                <w:rFonts w:ascii="Times New Roman" w:eastAsia="Arial" w:hAnsi="Times New Roman" w:cs="Times New Roman"/>
                <w:b w:val="0"/>
                <w:bCs/>
                <w:color w:val="FF0000"/>
                <w:sz w:val="24"/>
                <w:szCs w:val="24"/>
              </w:rPr>
            </w:pPr>
            <w:r w:rsidRPr="00330E56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 xml:space="preserve">Primeira Definição: </w:t>
            </w:r>
            <w:r w:rsidRPr="001445A6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epist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ê</w:t>
            </w:r>
            <w:r w:rsidRPr="001445A6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>como percepção</w:t>
            </w:r>
            <w:r w:rsidR="006B246E">
              <w:rPr>
                <w:rFonts w:ascii="Times New Roman" w:eastAsia="Arial" w:hAnsi="Times New Roman" w:cs="Times New Roman"/>
                <w:b w:val="0"/>
                <w:bCs/>
                <w:sz w:val="24"/>
                <w:szCs w:val="24"/>
              </w:rPr>
              <w:t xml:space="preserve">. </w:t>
            </w:r>
          </w:p>
          <w:p w14:paraId="57B30A0A" w14:textId="2B3DE20A" w:rsidR="00330E56" w:rsidRDefault="00330E56" w:rsidP="00330E56">
            <w:pPr>
              <w:jc w:val="both"/>
              <w:rPr>
                <w:rFonts w:ascii="Times New Roman" w:eastAsia="Arial" w:hAnsi="Times New Roman" w:cs="Times New Roman"/>
                <w:b w:val="0"/>
                <w:bCs/>
                <w:color w:val="FF0000"/>
                <w:sz w:val="24"/>
                <w:szCs w:val="24"/>
              </w:rPr>
            </w:pPr>
            <w:r w:rsidRPr="00330E56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- Segunda Definição: </w:t>
            </w:r>
            <w:r w:rsidRPr="00330E56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>epistêmê</w:t>
            </w:r>
            <w:r w:rsidRPr="00330E56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30E56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como crença/opinião verdadeira</w:t>
            </w:r>
            <w:r w:rsidR="006B246E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.</w:t>
            </w:r>
          </w:p>
          <w:p w14:paraId="10B78E94" w14:textId="347B763A" w:rsidR="006B246E" w:rsidRDefault="006B246E" w:rsidP="00330E56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B246E"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- Terceira Definição: </w:t>
            </w:r>
            <w:r w:rsidRPr="006B246E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</w:rPr>
              <w:t xml:space="preserve">epistêmê 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como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crença/opinião verdadeira + </w:t>
            </w:r>
            <w:r w:rsidR="00AE00DD" w:rsidRPr="00AE00DD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logos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</w:p>
          <w:p w14:paraId="3B194BD1" w14:textId="547E5915" w:rsidR="006B246E" w:rsidRDefault="006B246E" w:rsidP="00330E56">
            <w:pPr>
              <w:jc w:val="both"/>
              <w:rPr>
                <w:rFonts w:ascii="Times New Roman" w:hAnsi="Times New Roman" w:cs="Times New Roman"/>
                <w:b w:val="0"/>
                <w:bCs/>
                <w:color w:val="FF0000"/>
                <w:sz w:val="24"/>
                <w:szCs w:val="24"/>
              </w:rPr>
            </w:pPr>
          </w:p>
          <w:p w14:paraId="0E2C5166" w14:textId="7FFD2F37" w:rsidR="006B246E" w:rsidRDefault="006B246E" w:rsidP="00330E56">
            <w:pPr>
              <w:jc w:val="both"/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u w:val="single"/>
              </w:rPr>
            </w:pPr>
            <w:r w:rsidRPr="006B246E">
              <w:rPr>
                <w:rFonts w:ascii="Times New Roman" w:hAnsi="Times New Roman" w:cs="Times New Roman"/>
                <w:b w:val="0"/>
                <w:bCs/>
                <w:i/>
                <w:iCs/>
                <w:color w:val="000000" w:themeColor="text1"/>
                <w:sz w:val="24"/>
                <w:szCs w:val="24"/>
                <w:u w:val="single"/>
              </w:rPr>
              <w:t>Segundos Analíticos</w:t>
            </w:r>
            <w:r w:rsidRPr="006B246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  <w:u w:val="single"/>
              </w:rPr>
              <w:t>, de Aristóteles</w:t>
            </w:r>
          </w:p>
          <w:p w14:paraId="2F094413" w14:textId="4F7AB778" w:rsidR="006B246E" w:rsidRPr="006B246E" w:rsidRDefault="006B246E" w:rsidP="00330E56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6B246E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 xml:space="preserve">Definição de </w:t>
            </w:r>
            <w:r w:rsidRPr="001445A6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epist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ê</w:t>
            </w:r>
            <w:r w:rsidRPr="001445A6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ê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; saber </w:t>
            </w:r>
            <w:r w:rsidRPr="006B246E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que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vs. saber </w:t>
            </w:r>
            <w:r w:rsidRPr="006B246E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por que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  <w:p w14:paraId="74EB31D7" w14:textId="0DFDD8B7" w:rsidR="006B246E" w:rsidRPr="006B246E" w:rsidRDefault="006B246E" w:rsidP="00330E56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Demonstração: os seis requisitos d</w:t>
            </w:r>
            <w:r w:rsidR="0042492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s </w:t>
            </w:r>
            <w:r w:rsidR="0042492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princípios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demonstrativ</w:t>
            </w:r>
            <w:r w:rsidR="0042492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s</w:t>
            </w:r>
            <w:r w:rsidR="00E8339F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  <w:p w14:paraId="608F1020" w14:textId="780BDBDB" w:rsidR="006B246E" w:rsidRDefault="006B246E" w:rsidP="00330E56">
            <w:pPr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Fundacionismo vs. Demonstração Circular vs. Regresso ao Infinito.</w:t>
            </w:r>
          </w:p>
          <w:p w14:paraId="1BC24C7C" w14:textId="5415559C" w:rsidR="00330E56" w:rsidRDefault="006B246E" w:rsidP="00330E56">
            <w:pPr>
              <w:jc w:val="both"/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Aquisição dos Princípios: </w:t>
            </w:r>
            <w:r w:rsidRPr="006B246E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aisthêsis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r w:rsidRPr="006B246E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epistêmê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, </w:t>
            </w:r>
            <w:r w:rsidRPr="006B246E">
              <w:rPr>
                <w:rFonts w:ascii="Times New Roman" w:hAnsi="Times New Roman" w:cs="Times New Roman"/>
                <w:b w:val="0"/>
                <w:bCs/>
                <w:i/>
                <w:iCs/>
                <w:sz w:val="24"/>
                <w:szCs w:val="24"/>
              </w:rPr>
              <w:t>noûs</w:t>
            </w:r>
            <w:r w:rsidR="0042492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; Empirismo vs. Racionalismo.</w:t>
            </w:r>
          </w:p>
          <w:p w14:paraId="68CE6867" w14:textId="3035D1E7" w:rsidR="00B23778" w:rsidRPr="00B23778" w:rsidRDefault="00B23778" w:rsidP="00330E56">
            <w:pPr>
              <w:jc w:val="both"/>
              <w:rPr>
                <w:rFonts w:ascii="Times New Roman" w:eastAsia="Arial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3D7D73" w:rsidRPr="00A04FC0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EC5B8D9" w14:textId="7F7AD5A7" w:rsidR="00261EB7" w:rsidRPr="00A04FC0" w:rsidRDefault="008F5379" w:rsidP="008F537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2BB842F2" w14:textId="3082BB35" w:rsidR="00E8339F" w:rsidRPr="00E524A3" w:rsidRDefault="00E8339F" w:rsidP="00E8339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O docente responsável criará uma turma na plataforma Google Classroom voltada exclusivamente para as atividades da presente disciplina. </w:t>
            </w:r>
            <w:r w:rsidR="00B57C05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Os discentes</w:t>
            </w: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receberão um convite para participação através dos endereços de email cadastrados na Intranet. As atividades a serem realizadas incluem:</w:t>
            </w:r>
          </w:p>
          <w:p w14:paraId="2973FC25" w14:textId="77777777" w:rsidR="00E8339F" w:rsidRDefault="00E8339F" w:rsidP="00E83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  <w:p w14:paraId="778E9452" w14:textId="619CD51B" w:rsidR="00E8339F" w:rsidRPr="00E524A3" w:rsidRDefault="00E8339F" w:rsidP="00E83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524A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Atividades Síncronas</w:t>
            </w:r>
          </w:p>
          <w:p w14:paraId="4D7C9F84" w14:textId="77777777" w:rsidR="00E8339F" w:rsidRPr="00E524A3" w:rsidRDefault="00E8339F" w:rsidP="00E83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  <w:p w14:paraId="1E23DE41" w14:textId="2EFE2EE3" w:rsidR="00E8339F" w:rsidRPr="00E524A3" w:rsidRDefault="00E8339F" w:rsidP="00E833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napToGrid w:val="0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Aulas Expositivas </w:t>
            </w:r>
            <w:r w:rsidR="002171B5"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na Plataforma Google Meet </w:t>
            </w: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(CH: 4</w:t>
            </w:r>
            <w:r w:rsidR="006A64A6"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): </w:t>
            </w: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ab/>
            </w:r>
          </w:p>
          <w:p w14:paraId="00BF7F5E" w14:textId="2CDEF7F9" w:rsidR="00E8339F" w:rsidRDefault="00E8339F" w:rsidP="00E8339F">
            <w:pPr>
              <w:snapToGrid w:val="0"/>
              <w:spacing w:line="360" w:lineRule="auto"/>
              <w:ind w:left="708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Leitura e análise de texto, escrutínio de teses e argumentos e discussão conjunta das alternativas de interpretação.</w:t>
            </w:r>
          </w:p>
          <w:p w14:paraId="00DBE6B9" w14:textId="015E9442" w:rsidR="009D6D7F" w:rsidRPr="00E524A3" w:rsidRDefault="009D6D7F" w:rsidP="00E8339F">
            <w:pPr>
              <w:snapToGrid w:val="0"/>
              <w:spacing w:line="360" w:lineRule="auto"/>
              <w:ind w:left="708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Dia/Horário: Quinta-feira. Vespertino: 14h; Noturno: 19h.</w:t>
            </w:r>
          </w:p>
          <w:p w14:paraId="61B0B8E2" w14:textId="4503CE03" w:rsidR="00E8339F" w:rsidRPr="00E524A3" w:rsidRDefault="00E8339F" w:rsidP="00E8339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</w:pPr>
            <w:r w:rsidRPr="00E52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Atividades</w:t>
            </w: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  <w:t xml:space="preserve"> </w:t>
            </w:r>
            <w:r w:rsidR="002171B5" w:rsidRPr="00E524A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Assíncronas Substitutivas</w:t>
            </w:r>
          </w:p>
          <w:p w14:paraId="4D85E79A" w14:textId="2254B094" w:rsidR="00E8339F" w:rsidRPr="00E524A3" w:rsidRDefault="00E8339F" w:rsidP="002171B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As aulas </w:t>
            </w:r>
            <w:r w:rsidR="002171B5"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expositivas </w:t>
            </w: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ocorrerão ao vivo via Google Meet e serão gravadas e disponibilizadas posteriormente na plataforma Google Classroom. </w:t>
            </w:r>
            <w:r w:rsid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Os discentes que não puderem assistir às aulas ao </w:t>
            </w:r>
            <w:r w:rsid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 xml:space="preserve">vivo deverão </w:t>
            </w: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assistir posteriormente à gravação das aulas, como atividade assíncrona, e realizar exercícios online sobre o conteúdo ministrado.</w:t>
            </w:r>
          </w:p>
          <w:p w14:paraId="21B13B3E" w14:textId="2606ECD1" w:rsidR="00E524A3" w:rsidRPr="00E524A3" w:rsidRDefault="00E524A3" w:rsidP="00E524A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</w:pPr>
            <w:r w:rsidRPr="00E524A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Atividade</w:t>
            </w:r>
            <w:r w:rsidRPr="00E524A3"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  <w:t xml:space="preserve"> </w:t>
            </w:r>
            <w:r w:rsidRPr="00E524A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Assíncrona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Obrigatória</w:t>
            </w:r>
          </w:p>
          <w:p w14:paraId="0D3BD8DD" w14:textId="38E07136" w:rsidR="0042492C" w:rsidRPr="0042492C" w:rsidRDefault="0042492C" w:rsidP="0042492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2492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Elaboração de Texto Dissertativo (</w:t>
            </w:r>
            <w:r w:rsidR="00BA06F2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CH Teórica: 31; CH Prática: 17; </w:t>
            </w:r>
            <w:r w:rsidRPr="0042492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CH Total: 48):</w:t>
            </w:r>
          </w:p>
          <w:p w14:paraId="1F7E0812" w14:textId="7B5B945D" w:rsidR="00E76EA8" w:rsidRDefault="0042492C" w:rsidP="00E76EA8">
            <w:pPr>
              <w:snapToGrid w:val="0"/>
              <w:spacing w:line="360" w:lineRule="auto"/>
              <w:ind w:left="708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2492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- Os discentes deverão ler uma bibliografia específica</w:t>
            </w:r>
            <w:r w:rsidR="00AE00DD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</w:t>
            </w:r>
            <w:r w:rsidRPr="0042492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e elaborar um texto dissertativo sobre tema a ser indicado oportunamente. A entrega será online, através da Plataforma Google Classroom.</w:t>
            </w:r>
          </w:p>
          <w:p w14:paraId="21302816" w14:textId="51F59479" w:rsidR="004B4609" w:rsidRPr="0042492C" w:rsidRDefault="004B4609" w:rsidP="00E76EA8">
            <w:pPr>
              <w:snapToGrid w:val="0"/>
              <w:spacing w:line="360" w:lineRule="auto"/>
              <w:ind w:left="708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O professor estará </w:t>
            </w:r>
            <w:r w:rsidR="00DC64DB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à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disposição para atendimento extraclasse com agendamento prévio, para auxiliar na leitura da bibliografia e preparação da dissertação.</w:t>
            </w:r>
          </w:p>
          <w:p w14:paraId="0474568E" w14:textId="77777777" w:rsidR="0042492C" w:rsidRPr="0042492C" w:rsidRDefault="0042492C" w:rsidP="0042492C">
            <w:pPr>
              <w:snapToGrid w:val="0"/>
              <w:spacing w:line="360" w:lineRule="auto"/>
              <w:ind w:left="708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42492C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- O texto receberá uma nota (de 0 a 10). O/a aluno/a deverá tirar nota maior ou igual a 5,0 para computar a carga horária correspondente. </w:t>
            </w:r>
          </w:p>
          <w:p w14:paraId="0ABFCADE" w14:textId="08DF516B" w:rsidR="00B57C05" w:rsidRDefault="00B57C05" w:rsidP="00B57C0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Disponibilização de Material</w:t>
            </w:r>
          </w:p>
          <w:p w14:paraId="4799E7C2" w14:textId="523333A4" w:rsidR="00161219" w:rsidRPr="008508B4" w:rsidRDefault="008508B4" w:rsidP="008508B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Os discentes terão acesso a p</w:t>
            </w:r>
            <w:r w:rsidR="00CC744D" w:rsidRPr="00CC744D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>asta compartilhável do Google Drive. O link será fornecido oportunamente.</w:t>
            </w:r>
          </w:p>
        </w:tc>
      </w:tr>
      <w:tr w:rsidR="003D7D73" w:rsidRPr="00A04FC0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5E12AA18" w14:textId="6BEEA1BA" w:rsidR="00261EB7" w:rsidRDefault="000B64E4" w:rsidP="00E85B8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 xml:space="preserve"> </w:t>
            </w:r>
            <w:r w:rsidR="0056665A" w:rsidRPr="00A04FC0">
              <w:rPr>
                <w:rFonts w:ascii="Times New Roman" w:eastAsia="Arial" w:hAnsi="Times New Roman" w:cs="Times New Roman"/>
                <w:smallCaps/>
              </w:rPr>
              <w:t>Avaliação:</w:t>
            </w:r>
            <w:r w:rsidR="00625CD1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1FCD95FA" w14:textId="090D60BA" w:rsidR="004905F2" w:rsidRDefault="00E76EA8" w:rsidP="00E76EA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A avaliação de desempenho será realizada através da </w:t>
            </w:r>
            <w:r w:rsidRPr="00E76EA8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Atividade </w:t>
            </w:r>
            <w:r w:rsidRPr="00E76EA8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Assíncrona Obrigatória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, discriminada acima, na seção Metodologia de Ensino. Nota Mínima para Cumprimento: 5,0.</w:t>
            </w:r>
          </w:p>
          <w:p w14:paraId="0719B3B1" w14:textId="77777777" w:rsidR="00E76EA8" w:rsidRDefault="00E76EA8" w:rsidP="00E76EA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Obs.: É condição necessária para aprovação na disciplina o cumprimento da CH relativa às aulas expositivas, seja do modo síncrono ou assíncrono, a depender da disponibilidade do discente.</w:t>
            </w:r>
          </w:p>
          <w:p w14:paraId="7B181DBA" w14:textId="10218F77" w:rsidR="00B73398" w:rsidRPr="00B73398" w:rsidRDefault="00B73398" w:rsidP="00B73398">
            <w:pPr>
              <w:rPr>
                <w:rFonts w:ascii="Times New Roman" w:eastAsia="Calibri" w:hAnsi="Times New Roman" w:cs="Times New Roman"/>
                <w:i/>
                <w:color w:val="404040"/>
              </w:rPr>
            </w:pPr>
            <w:r w:rsidRPr="00B73398">
              <w:rPr>
                <w:rFonts w:ascii="Times New Roman" w:eastAsia="Calibri" w:hAnsi="Times New Roman" w:cs="Times New Roman"/>
                <w:color w:val="000000"/>
              </w:rPr>
              <w:t>Conceito final da unidade curricular: “cumprido/não cumprido”</w:t>
            </w:r>
          </w:p>
        </w:tc>
      </w:tr>
      <w:tr w:rsidR="003D7D73" w:rsidRPr="00A04FC0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ECCC954" w14:textId="559BF992" w:rsidR="008A4B9F" w:rsidRDefault="0056665A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Bibliografia</w:t>
            </w:r>
            <w:r w:rsidRPr="00A04FC0">
              <w:rPr>
                <w:rFonts w:ascii="Times New Roman" w:hAnsi="Times New Roman"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70AFAD3E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Angioni, Lucas. 2002. </w:t>
            </w:r>
            <w:r>
              <w:rPr>
                <w:i/>
                <w:iCs/>
              </w:rPr>
              <w:t>Aristóteles - Segundos Analíticos, Livro II (Tradução). Clássicos Da Filosofia: Cadernos de Tradução N</w:t>
            </w:r>
            <w:r>
              <w:rPr>
                <w:i/>
                <w:iCs/>
                <w:vertAlign w:val="superscript"/>
              </w:rPr>
              <w:t>o</w:t>
            </w:r>
            <w:r>
              <w:rPr>
                <w:i/>
                <w:iCs/>
              </w:rPr>
              <w:t xml:space="preserve"> 4</w:t>
            </w:r>
            <w:r>
              <w:t>. Campinas: IFCH/UNICAMP.</w:t>
            </w:r>
          </w:p>
          <w:p w14:paraId="1E96077B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Angioni, Lucas. 2004. </w:t>
            </w:r>
            <w:r>
              <w:rPr>
                <w:i/>
                <w:iCs/>
              </w:rPr>
              <w:t>Aristóteles - Segundos Analíticos, Livro I (Tradução). Clássicos Da Filosofia: Cadernos de Tradução N</w:t>
            </w:r>
            <w:r>
              <w:rPr>
                <w:i/>
                <w:iCs/>
                <w:vertAlign w:val="superscript"/>
              </w:rPr>
              <w:t>o</w:t>
            </w:r>
            <w:r>
              <w:rPr>
                <w:i/>
                <w:iCs/>
              </w:rPr>
              <w:t xml:space="preserve"> 7</w:t>
            </w:r>
            <w:r>
              <w:t>. Campinas: IFCH/UNICAMP.</w:t>
            </w:r>
          </w:p>
          <w:p w14:paraId="7CA9B925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Angioni, Lucas. 2007. “O Conhecimento Científico No Livro I Dos Segundos Analíticos de Aristóteles.” </w:t>
            </w:r>
            <w:r>
              <w:rPr>
                <w:i/>
                <w:iCs/>
              </w:rPr>
              <w:t>Journal of Ancient Philosophy</w:t>
            </w:r>
            <w:r>
              <w:t xml:space="preserve"> 1 (2): 1–24. https://doi.org/10.11606/issn.1981-9471.v1i2p1-24.</w:t>
            </w:r>
          </w:p>
          <w:p w14:paraId="1630BAE1" w14:textId="77777777" w:rsidR="00751AEF" w:rsidRDefault="00751AEF" w:rsidP="00751AEF">
            <w:pPr>
              <w:pStyle w:val="NormalWeb"/>
              <w:ind w:left="480" w:hanging="480"/>
            </w:pPr>
            <w:r>
              <w:lastRenderedPageBreak/>
              <w:t xml:space="preserve">Angioni, Lucas. 2016. “Aristotle’s Definition of Scientific Knowledge (APo 71b 9–12).” In </w:t>
            </w:r>
            <w:r>
              <w:rPr>
                <w:i/>
                <w:iCs/>
              </w:rPr>
              <w:t>Logical Analysis and History of Philosophy</w:t>
            </w:r>
            <w:r>
              <w:t>, edited by Katerina Ierodiakonou and Pieter Sjoerd Hasper, 79–105. Munster: Mentis.</w:t>
            </w:r>
          </w:p>
          <w:p w14:paraId="667DF5B8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Angioni, Lucas. 2012. “Os Seis Requisitos Das Premissas Da Demonstração Científica Em Aristóteles (Segundos Analíticos I2).” </w:t>
            </w:r>
            <w:r>
              <w:rPr>
                <w:i/>
                <w:iCs/>
              </w:rPr>
              <w:t>Manuscrito</w:t>
            </w:r>
            <w:r>
              <w:t xml:space="preserve"> 35 (1): 7–60. https://doi.org/10.1590/s0100-60452012000100001.</w:t>
            </w:r>
          </w:p>
          <w:p w14:paraId="09488597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Barnes, Jonathan. 1993. </w:t>
            </w:r>
            <w:r>
              <w:rPr>
                <w:i/>
                <w:iCs/>
              </w:rPr>
              <w:t>Aristotle. Posterior Analytics. Translated with a Commentary.</w:t>
            </w:r>
            <w:r>
              <w:t xml:space="preserve"> 2nd ed. Oxford: Clarendon Press.</w:t>
            </w:r>
          </w:p>
          <w:p w14:paraId="3E399AFE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Bayer, Greg. 1997. “Coming to Know Principles in Posterior Analytics II 19.” </w:t>
            </w:r>
            <w:r>
              <w:rPr>
                <w:i/>
                <w:iCs/>
              </w:rPr>
              <w:t>Apeiron</w:t>
            </w:r>
            <w:r>
              <w:t xml:space="preserve"> 30 (2): 109–42. https://doi.org/10.1515/apeiron.1997.30.2.109.</w:t>
            </w:r>
          </w:p>
          <w:p w14:paraId="42FBD166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Borges, Anderson. 2016. “Sobre o Escopo Cognitivo Da Aisthêsis No Argumento Final Da Primeira Parte Do Teeteto.” </w:t>
            </w:r>
            <w:r>
              <w:rPr>
                <w:i/>
                <w:iCs/>
              </w:rPr>
              <w:t>Journal of Ancient Philosophy</w:t>
            </w:r>
            <w:r>
              <w:t xml:space="preserve"> 10 (2): 45. https://doi.org/10.11606/issn.1981-9471.v10i2p45-69.</w:t>
            </w:r>
          </w:p>
          <w:p w14:paraId="519D08B3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Bostock, David. 1988. </w:t>
            </w:r>
            <w:r>
              <w:rPr>
                <w:i/>
                <w:iCs/>
              </w:rPr>
              <w:t>Plato’s Theaetetus</w:t>
            </w:r>
            <w:r>
              <w:t>. Oxford: Oxford University Press.</w:t>
            </w:r>
          </w:p>
          <w:p w14:paraId="1063A248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Bronstein, David. 2012. “The Origin and Aim of Posterior Analytics II.19.” </w:t>
            </w:r>
            <w:r>
              <w:rPr>
                <w:i/>
                <w:iCs/>
              </w:rPr>
              <w:t>Phronesis</w:t>
            </w:r>
            <w:r>
              <w:t xml:space="preserve"> 57 (1): 29–62. https://doi.org/10.1163/156852812X607289.</w:t>
            </w:r>
          </w:p>
          <w:p w14:paraId="5955632B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Bronstein, David. 2016. </w:t>
            </w:r>
            <w:r>
              <w:rPr>
                <w:i/>
                <w:iCs/>
              </w:rPr>
              <w:t>Aristotle on Aristotle on Knowledge and Learning: The Posterior Analytics</w:t>
            </w:r>
            <w:r>
              <w:t>. Oxford: Oxford University Press.</w:t>
            </w:r>
          </w:p>
          <w:p w14:paraId="3BCA5F9C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Bronstein, David, and Whitney Schwab. 2019. “Is Plato an Innatist in the Meno?” </w:t>
            </w:r>
            <w:r>
              <w:rPr>
                <w:i/>
                <w:iCs/>
              </w:rPr>
              <w:t>Phronesis</w:t>
            </w:r>
            <w:r>
              <w:t xml:space="preserve"> 64 (4): 392–430. https://doi.org/10.1163/15685284-12341969.</w:t>
            </w:r>
          </w:p>
          <w:p w14:paraId="5DC2A83B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Burnyeat, M. F. 1970. “The Material and Sources of Plato’s Dream.” </w:t>
            </w:r>
            <w:r>
              <w:rPr>
                <w:i/>
                <w:iCs/>
              </w:rPr>
              <w:t>Phronesis</w:t>
            </w:r>
            <w:r>
              <w:t xml:space="preserve"> 15 (1–2): 101–22. https://doi.org/10.1163/156852870X00099.</w:t>
            </w:r>
          </w:p>
          <w:p w14:paraId="0FBCC0FE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Burnyeat, M.F. 1976. “Protagoras and Self-Refutation in Later Greek Philosophy.” </w:t>
            </w:r>
            <w:r>
              <w:rPr>
                <w:i/>
                <w:iCs/>
              </w:rPr>
              <w:t>The Philosophical Review</w:t>
            </w:r>
            <w:r>
              <w:t xml:space="preserve"> 85 (1): 44–69.</w:t>
            </w:r>
          </w:p>
          <w:p w14:paraId="574496C8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Burnyeat, M.F. 1990. </w:t>
            </w:r>
            <w:r>
              <w:rPr>
                <w:i/>
                <w:iCs/>
              </w:rPr>
              <w:t>The Theaetetus of Plato</w:t>
            </w:r>
            <w:r>
              <w:t xml:space="preserve">. </w:t>
            </w:r>
            <w:r>
              <w:rPr>
                <w:i/>
                <w:iCs/>
              </w:rPr>
              <w:t>Ancient Philosophy</w:t>
            </w:r>
            <w:r>
              <w:t>. Indianapolis: Hackett. https://doi.org/10.5840/ancientphil199212218.</w:t>
            </w:r>
          </w:p>
          <w:p w14:paraId="7D594D92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Burnyeat, M.F. 1981. “Aristotle on Understanding Knowledge.” In </w:t>
            </w:r>
            <w:r>
              <w:rPr>
                <w:i/>
                <w:iCs/>
              </w:rPr>
              <w:t>Aristotle on Science: The Posterior Analytics, Proceedings of the Eighth Symposium Aristotelicum</w:t>
            </w:r>
            <w:r>
              <w:t>, edited by Enrico Berti, 97–139. Padova: Editrice Antenore.</w:t>
            </w:r>
          </w:p>
          <w:p w14:paraId="6601CEDA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Burnyeat, M.F., and Jonathan Barnes. 1980. “Socrates and the Jury: Paradoxes in Plato’s Distinction between Knowledge and True Belief.” </w:t>
            </w:r>
            <w:r>
              <w:rPr>
                <w:i/>
                <w:iCs/>
              </w:rPr>
              <w:t>Proceedings of the Aristotelian Society, Supplementary Volumes</w:t>
            </w:r>
            <w:r>
              <w:t xml:space="preserve"> 54 (1980): 173–206.</w:t>
            </w:r>
          </w:p>
          <w:p w14:paraId="6E6961ED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Charles, David. 2000. </w:t>
            </w:r>
            <w:r>
              <w:rPr>
                <w:i/>
                <w:iCs/>
              </w:rPr>
              <w:t>Aristotle on Meaning and Essence</w:t>
            </w:r>
            <w:r>
              <w:t>. Oxford: Clarendon Press.</w:t>
            </w:r>
          </w:p>
          <w:p w14:paraId="5BDEAE0B" w14:textId="77777777" w:rsidR="00751AEF" w:rsidRDefault="00751AEF" w:rsidP="00751AEF">
            <w:pPr>
              <w:pStyle w:val="NormalWeb"/>
              <w:ind w:left="480" w:hanging="480"/>
            </w:pPr>
            <w:r>
              <w:lastRenderedPageBreak/>
              <w:t xml:space="preserve">Conford, F. M. 1935. </w:t>
            </w:r>
            <w:r>
              <w:rPr>
                <w:i/>
                <w:iCs/>
              </w:rPr>
              <w:t>Plato’s Theory of Knowledge: The Theaetetus and the Sophist of Plato Translated with a Running Commentary</w:t>
            </w:r>
            <w:r>
              <w:t>. London: Hartcourt, Brace and Co.</w:t>
            </w:r>
          </w:p>
          <w:p w14:paraId="08C7BA09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Cooper, John M. 1970. “Plato on Sense-Perception and Knowled Ge (Theaetetus 184-186).” </w:t>
            </w:r>
            <w:r>
              <w:rPr>
                <w:i/>
                <w:iCs/>
              </w:rPr>
              <w:t>Phronesis</w:t>
            </w:r>
            <w:r>
              <w:t xml:space="preserve"> 15 (1–2): 123–146.</w:t>
            </w:r>
          </w:p>
          <w:p w14:paraId="71389D2B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Day, J.M., ed. 1994. </w:t>
            </w:r>
            <w:r>
              <w:rPr>
                <w:i/>
                <w:iCs/>
              </w:rPr>
              <w:t>Plato’s Meno in Focus</w:t>
            </w:r>
            <w:r>
              <w:t>. London: Routledge.</w:t>
            </w:r>
          </w:p>
          <w:p w14:paraId="23F279C7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Fine, Gail. 2003. “Knowledge and Logos in the Theaetetus.” In </w:t>
            </w:r>
            <w:r>
              <w:rPr>
                <w:i/>
                <w:iCs/>
              </w:rPr>
              <w:t>Plato on Knowledge and Forms: Selected Essays</w:t>
            </w:r>
            <w:r>
              <w:t>, edited by Gail Fine, 225–51. Oxford: Oxford University Press.</w:t>
            </w:r>
          </w:p>
          <w:p w14:paraId="28368436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Fine, Gail. 2004. “Knowledge and True Belief in the Meno.” </w:t>
            </w:r>
            <w:r>
              <w:rPr>
                <w:i/>
                <w:iCs/>
              </w:rPr>
              <w:t>Oxford Studies in Ancient Philosophy</w:t>
            </w:r>
            <w:r>
              <w:t xml:space="preserve"> 27: 41–81.</w:t>
            </w:r>
          </w:p>
          <w:p w14:paraId="4E7AD8F1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Fine, Gail. 2003. “Inquiry in Meno.” In </w:t>
            </w:r>
            <w:r>
              <w:rPr>
                <w:i/>
                <w:iCs/>
              </w:rPr>
              <w:t>Plato on Knowledge and Forms: Selected Essays</w:t>
            </w:r>
            <w:r>
              <w:t>, edited by Gail Fine, 44–65. Oxford: Clarendon Press.</w:t>
            </w:r>
          </w:p>
          <w:p w14:paraId="59E180C6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Geach, P. T. 1966. “Plato’s ‘Euthyphro’: An Analysis and Commentary.” </w:t>
            </w:r>
            <w:r>
              <w:rPr>
                <w:i/>
                <w:iCs/>
              </w:rPr>
              <w:t>The Monist</w:t>
            </w:r>
            <w:r>
              <w:t xml:space="preserve"> 50 (3): 369–82.</w:t>
            </w:r>
          </w:p>
          <w:p w14:paraId="3B1602FF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Harte, Verity. 2002. </w:t>
            </w:r>
            <w:r>
              <w:rPr>
                <w:i/>
                <w:iCs/>
              </w:rPr>
              <w:t>Plato on Parts and Wholes: The Metaphysics of Structure</w:t>
            </w:r>
            <w:r>
              <w:t>. Oxford: Clarendon Press. https://doi.org/10.1215/00318108-114-2-273.</w:t>
            </w:r>
          </w:p>
          <w:p w14:paraId="567DCD06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Iglésias, Maura. 2001. </w:t>
            </w:r>
            <w:r>
              <w:rPr>
                <w:i/>
                <w:iCs/>
              </w:rPr>
              <w:t>Platão - Mênon. Texto Estabelecido e Anotado Por John Burnet; Tradução de Maura Iglésias</w:t>
            </w:r>
            <w:r>
              <w:t>. Rio de Janeiro: PUC-Rio; Loyola.</w:t>
            </w:r>
          </w:p>
          <w:p w14:paraId="332F3799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Irwin, Terence. 1988. </w:t>
            </w:r>
            <w:r>
              <w:rPr>
                <w:i/>
                <w:iCs/>
              </w:rPr>
              <w:t>Aristotle’s First Principles</w:t>
            </w:r>
            <w:r>
              <w:t>. Oxford: Oxford University Press.</w:t>
            </w:r>
          </w:p>
          <w:p w14:paraId="3574A8F2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Irwin, Terrence. 1995. </w:t>
            </w:r>
            <w:r>
              <w:rPr>
                <w:i/>
                <w:iCs/>
              </w:rPr>
              <w:t>Plato’s Ethics</w:t>
            </w:r>
            <w:r>
              <w:t>. Oxford: Oxford University Press.</w:t>
            </w:r>
          </w:p>
          <w:p w14:paraId="578226E0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Kahn, Charles H. 1981. “The Role of Nous in the Cognition of First Principles in Posterior Analytics II 19.” In </w:t>
            </w:r>
            <w:r>
              <w:rPr>
                <w:i/>
                <w:iCs/>
              </w:rPr>
              <w:t>Aristotle on Science: The Posterior Analytics, Proceedings of the Eighth Symposium Aristotelicum</w:t>
            </w:r>
            <w:r>
              <w:t>, edited by Enrico Berti, 385–414. Padova: Editrice Antenore.</w:t>
            </w:r>
          </w:p>
          <w:p w14:paraId="371A4CD9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Kosman, L.A. 1973. “Understanding, Explanation, and Insight in Aristotle’s Posterior Analytics.” In </w:t>
            </w:r>
            <w:r>
              <w:rPr>
                <w:i/>
                <w:iCs/>
              </w:rPr>
              <w:t>Exegesis and Argument, Studies in Greek Philosophy Presented to Gregory Vlastos.</w:t>
            </w:r>
            <w:r>
              <w:t>, edited by E.N. Lee, A.P.D. Mourelatos, and R. Rorty, 374–392. New York: Humanities Press.</w:t>
            </w:r>
          </w:p>
          <w:p w14:paraId="0702E2C6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Lesher, J.H. 1973. “The Meaning of ΝΟΥΣ in the Posterior Analytics.” </w:t>
            </w:r>
            <w:r>
              <w:rPr>
                <w:i/>
                <w:iCs/>
              </w:rPr>
              <w:t>Phronesis</w:t>
            </w:r>
            <w:r>
              <w:t xml:space="preserve"> 18: 44–68.</w:t>
            </w:r>
          </w:p>
          <w:p w14:paraId="14C2736A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McKirahan, Richard. 1992. </w:t>
            </w:r>
            <w:r>
              <w:rPr>
                <w:i/>
                <w:iCs/>
              </w:rPr>
              <w:t>Principles and Proofs: Aristotle’s Theory of Demonstrative Science.</w:t>
            </w:r>
            <w:r>
              <w:t xml:space="preserve"> Princeton: Princeton University Press.</w:t>
            </w:r>
          </w:p>
          <w:p w14:paraId="02D266CE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Morison, Benjamin. 2019. “Theoretical Nous in the Posterior Analytics.” </w:t>
            </w:r>
            <w:r>
              <w:rPr>
                <w:i/>
                <w:iCs/>
              </w:rPr>
              <w:t>Manuscrito</w:t>
            </w:r>
            <w:r>
              <w:t xml:space="preserve"> 42 (4): 1–43.</w:t>
            </w:r>
          </w:p>
          <w:p w14:paraId="5CBE9047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Nogueira, Ana M., and M. Boeri. 2010. </w:t>
            </w:r>
            <w:r>
              <w:rPr>
                <w:i/>
                <w:iCs/>
              </w:rPr>
              <w:t>Platão - Teeteto</w:t>
            </w:r>
            <w:r>
              <w:t>. Lisboa: Calouste Gulbenkian.</w:t>
            </w:r>
          </w:p>
          <w:p w14:paraId="15B1CA6A" w14:textId="77777777" w:rsidR="00751AEF" w:rsidRDefault="00751AEF" w:rsidP="00751AEF">
            <w:pPr>
              <w:pStyle w:val="NormalWeb"/>
              <w:ind w:left="480" w:hanging="480"/>
            </w:pPr>
            <w:r>
              <w:lastRenderedPageBreak/>
              <w:t xml:space="preserve">Ross, W.D., ed. 1949. </w:t>
            </w:r>
            <w:r>
              <w:rPr>
                <w:i/>
                <w:iCs/>
              </w:rPr>
              <w:t>Aristotle’s Prior and Posterior Analytics: A Revised Text with Introduction and Commentary</w:t>
            </w:r>
            <w:r>
              <w:t>. Oxford: Oxford University Press.</w:t>
            </w:r>
          </w:p>
          <w:p w14:paraId="60AF0E16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Rowe, Christopher. 2015. </w:t>
            </w:r>
            <w:r>
              <w:rPr>
                <w:i/>
                <w:iCs/>
              </w:rPr>
              <w:t>Plato: Theaetetus and Sophist</w:t>
            </w:r>
            <w:r>
              <w:t xml:space="preserve">. </w:t>
            </w:r>
            <w:r>
              <w:rPr>
                <w:i/>
                <w:iCs/>
              </w:rPr>
              <w:t>Plato: Theaetetus and Sophist</w:t>
            </w:r>
            <w:r>
              <w:t>. Cambridge: Cambridge University Press. https://doi.org/10.1017/cbo9781139047036.</w:t>
            </w:r>
          </w:p>
          <w:p w14:paraId="36BC4A12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Ryle, Gilbert. 1960. “Letters and Syllables in Plato.” </w:t>
            </w:r>
            <w:r>
              <w:rPr>
                <w:i/>
                <w:iCs/>
              </w:rPr>
              <w:t>The Philosophical Review</w:t>
            </w:r>
            <w:r>
              <w:t xml:space="preserve"> 69 (4): 431–51. https://doi.org/10.2307/2183479.</w:t>
            </w:r>
          </w:p>
          <w:p w14:paraId="7072537A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Ryle, Gilbert. 1990. “Logical Atomism in Plato’s ‘Theaetetus.’” </w:t>
            </w:r>
            <w:r>
              <w:rPr>
                <w:i/>
                <w:iCs/>
              </w:rPr>
              <w:t>Phronesis</w:t>
            </w:r>
            <w:r>
              <w:t xml:space="preserve"> 35 (1): 21–46.</w:t>
            </w:r>
          </w:p>
          <w:p w14:paraId="6CF95F56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Schwab, Whitney. 2015. “Explanation in the Epistemology of the Meno.” </w:t>
            </w:r>
            <w:r>
              <w:rPr>
                <w:i/>
                <w:iCs/>
              </w:rPr>
              <w:t>Oxford Studies in Ancient Philosophy</w:t>
            </w:r>
            <w:r>
              <w:t xml:space="preserve"> 48: 1–36.</w:t>
            </w:r>
          </w:p>
          <w:p w14:paraId="35CB555D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Scott, Dominic. 2005. </w:t>
            </w:r>
            <w:r>
              <w:rPr>
                <w:i/>
                <w:iCs/>
              </w:rPr>
              <w:t>Plato’s Meno</w:t>
            </w:r>
            <w:r>
              <w:t>. Cambridge: Cambridge University Press.</w:t>
            </w:r>
          </w:p>
          <w:p w14:paraId="549692A5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Sedley, D. 2004. </w:t>
            </w:r>
            <w:r>
              <w:rPr>
                <w:i/>
                <w:iCs/>
              </w:rPr>
              <w:t>The Midwife of Platonism: Text and Subtext in Plato’s Theaetetus</w:t>
            </w:r>
            <w:r>
              <w:t xml:space="preserve">. </w:t>
            </w:r>
            <w:r>
              <w:rPr>
                <w:i/>
                <w:iCs/>
              </w:rPr>
              <w:t>International Philosophical Quarterly</w:t>
            </w:r>
            <w:r>
              <w:t>. Oxford: Oxford University Press. https://doi.org/10.5840/ipq20064625.</w:t>
            </w:r>
          </w:p>
          <w:p w14:paraId="2F84B72F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Taylor, C.C.W. 1990. “Aristotle’s Epistemology.” In </w:t>
            </w:r>
            <w:r>
              <w:rPr>
                <w:i/>
                <w:iCs/>
              </w:rPr>
              <w:t>Epistemology: Companions to Ancient Thought</w:t>
            </w:r>
            <w:r>
              <w:t>, edited by Stephen Everson, 116–42. Cambridge: Cambridge University Press.</w:t>
            </w:r>
          </w:p>
          <w:p w14:paraId="1174477D" w14:textId="77777777" w:rsidR="00751AEF" w:rsidRDefault="00751AEF" w:rsidP="00751AEF">
            <w:pPr>
              <w:pStyle w:val="NormalWeb"/>
              <w:ind w:left="480" w:hanging="480"/>
            </w:pPr>
            <w:r>
              <w:t xml:space="preserve">Vlastos, Gregory. 1994. “Socratic Elenchus: Method Is All.” In </w:t>
            </w:r>
            <w:r>
              <w:rPr>
                <w:i/>
                <w:iCs/>
              </w:rPr>
              <w:t>Socratic Studies</w:t>
            </w:r>
            <w:r>
              <w:t>, edited by M.F. Burnyeat, 1–29. Cambridge: Cambridge University Press.</w:t>
            </w:r>
          </w:p>
          <w:p w14:paraId="56723E05" w14:textId="28EEC53F" w:rsidR="0012471D" w:rsidRPr="00751AEF" w:rsidRDefault="00751AEF" w:rsidP="00751AEF">
            <w:pPr>
              <w:pStyle w:val="NormalWeb"/>
              <w:ind w:left="480" w:hanging="480"/>
            </w:pPr>
            <w:r>
              <w:t xml:space="preserve">Zuppolini, Breno. 2020. “Comprehension, Demonstration, and Accuracy in Aristotle.” </w:t>
            </w:r>
            <w:r>
              <w:rPr>
                <w:i/>
                <w:iCs/>
              </w:rPr>
              <w:t>Journal of the History of Philosophy</w:t>
            </w:r>
            <w:r>
              <w:t xml:space="preserve"> 58 (1): 29–48. https://doi.org/10.1353/HPH.2020.0002.</w:t>
            </w:r>
          </w:p>
          <w:p w14:paraId="540E01D9" w14:textId="714560D8" w:rsidR="0057043E" w:rsidRPr="00A04FC0" w:rsidRDefault="0057043E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</w:p>
        </w:tc>
      </w:tr>
      <w:tr w:rsidR="00A46BD6" w:rsidRPr="00A04FC0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A04FC0" w:rsidRDefault="00A46BD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A04FC0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A04FC0" w:rsidRDefault="00A46BD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A04FC0" w:rsidRDefault="00A46BD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A46BD6" w:rsidRPr="00A04FC0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3F8B313" w14:textId="2C27A6AF" w:rsidR="00A46BD6" w:rsidRPr="00A04FC0" w:rsidRDefault="00E76EA8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Breno Zuppolini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73FCAE87" w:rsidR="00A46BD6" w:rsidRPr="00A04FC0" w:rsidRDefault="00E76EA8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Professor 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A04FC0" w:rsidRDefault="00464532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A04FC0" w:rsidRDefault="00464532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47F62B6C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9D657F" w14:textId="06C6C2F4" w:rsidR="0056663E" w:rsidRPr="00CE1468" w:rsidRDefault="00A648B6" w:rsidP="00A648B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70685484" w14:textId="60BB1D9C" w:rsidR="008A4B9F" w:rsidRPr="002918EF" w:rsidRDefault="008350DD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e </w:t>
      </w:r>
      <w:r w:rsidR="00BE5183" w:rsidRPr="00450EFE">
        <w:rPr>
          <w:rFonts w:ascii="Times New Roman" w:hAnsi="Times New Roman" w:cs="Times New Roman"/>
          <w:sz w:val="24"/>
          <w:szCs w:val="24"/>
        </w:rPr>
        <w:t>1</w:t>
      </w:r>
      <w:r w:rsidR="006A10B7" w:rsidRPr="00450EFE">
        <w:rPr>
          <w:rFonts w:ascii="Times New Roman" w:hAnsi="Times New Roman" w:cs="Times New Roman"/>
          <w:sz w:val="24"/>
          <w:szCs w:val="24"/>
        </w:rPr>
        <w:t>3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04</w:t>
      </w:r>
      <w:r w:rsidR="00717F4C" w:rsidRPr="00450EFE">
        <w:rPr>
          <w:rFonts w:ascii="Times New Roman" w:hAnsi="Times New Roman" w:cs="Times New Roman"/>
          <w:sz w:val="24"/>
          <w:szCs w:val="24"/>
        </w:rPr>
        <w:t xml:space="preserve"> a </w:t>
      </w:r>
      <w:r w:rsidR="006A10B7" w:rsidRPr="00450EFE">
        <w:rPr>
          <w:rFonts w:ascii="Times New Roman" w:hAnsi="Times New Roman" w:cs="Times New Roman"/>
          <w:sz w:val="24"/>
          <w:szCs w:val="24"/>
        </w:rPr>
        <w:t>17</w:t>
      </w:r>
      <w:r w:rsidR="00862D08" w:rsidRPr="00450EFE">
        <w:rPr>
          <w:rFonts w:ascii="Times New Roman" w:hAnsi="Times New Roman" w:cs="Times New Roman"/>
          <w:sz w:val="24"/>
          <w:szCs w:val="24"/>
        </w:rPr>
        <w:t>/</w:t>
      </w:r>
      <w:r w:rsidR="006A10B7" w:rsidRPr="00450EFE">
        <w:rPr>
          <w:rFonts w:ascii="Times New Roman" w:hAnsi="Times New Roman" w:cs="Times New Roman"/>
          <w:sz w:val="24"/>
          <w:szCs w:val="24"/>
        </w:rPr>
        <w:t>08</w:t>
      </w:r>
      <w:r w:rsidR="00BE72A6" w:rsidRPr="00450EFE">
        <w:rPr>
          <w:rFonts w:ascii="Times New Roman" w:hAnsi="Times New Roman" w:cs="Times New Roman"/>
          <w:sz w:val="24"/>
          <w:szCs w:val="24"/>
        </w:rPr>
        <w:t>/</w:t>
      </w:r>
      <w:r w:rsidR="00717F4C" w:rsidRPr="00450EFE">
        <w:rPr>
          <w:rFonts w:ascii="Times New Roman" w:hAnsi="Times New Roman" w:cs="Times New Roman"/>
          <w:sz w:val="24"/>
          <w:szCs w:val="24"/>
        </w:rPr>
        <w:t>202</w:t>
      </w:r>
      <w:r w:rsidR="00BE72A6" w:rsidRPr="00450EFE">
        <w:rPr>
          <w:rFonts w:ascii="Times New Roman" w:hAnsi="Times New Roman" w:cs="Times New Roman"/>
          <w:sz w:val="24"/>
          <w:szCs w:val="24"/>
        </w:rPr>
        <w:t>1</w:t>
      </w:r>
      <w:r w:rsidR="006A10B7" w:rsidRPr="00450EFE">
        <w:rPr>
          <w:rFonts w:ascii="Times New Roman" w:hAnsi="Times New Roman" w:cs="Times New Roman"/>
          <w:sz w:val="24"/>
          <w:szCs w:val="24"/>
        </w:rPr>
        <w:t xml:space="preserve"> - VETERANOS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A04FC0" w:rsidRDefault="00C74608" w:rsidP="00E97CD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F2172FC" w14:textId="77777777" w:rsidR="001741EF" w:rsidRDefault="00005C50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3A4BD9">
              <w:rPr>
                <w:rFonts w:ascii="Times New Roman" w:hAnsi="Times New Roman" w:cs="Times New Roman"/>
                <w:b/>
                <w:sz w:val="24"/>
                <w:szCs w:val="24"/>
              </w:rPr>
              <w:t>/04</w:t>
            </w:r>
          </w:p>
          <w:p w14:paraId="162CE137" w14:textId="52C8C934" w:rsidR="003A4BD9" w:rsidRPr="006A64A6" w:rsidRDefault="003A4BD9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A6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22/04</w:t>
            </w:r>
          </w:p>
          <w:p w14:paraId="7BDBC201" w14:textId="1D25A1D6" w:rsidR="003A4BD9" w:rsidRDefault="003A4BD9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4B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29/04</w:t>
            </w:r>
          </w:p>
          <w:p w14:paraId="47BE60DD" w14:textId="750C9F5D" w:rsidR="003A4BD9" w:rsidRDefault="003A4BD9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06/05</w:t>
            </w:r>
          </w:p>
          <w:p w14:paraId="004AB829" w14:textId="121A4E4E" w:rsidR="003A4BD9" w:rsidRDefault="003A4BD9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13/05</w:t>
            </w:r>
          </w:p>
          <w:p w14:paraId="163ACBCC" w14:textId="1A2BCD8F" w:rsidR="003A4BD9" w:rsidRDefault="00E8339F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20/05</w:t>
            </w:r>
          </w:p>
          <w:p w14:paraId="1D7997E1" w14:textId="3491A290" w:rsidR="00E8339F" w:rsidRDefault="00E8339F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27/05</w:t>
            </w:r>
          </w:p>
          <w:p w14:paraId="52164B99" w14:textId="4E32B9E5" w:rsidR="00E8339F" w:rsidRDefault="00E8339F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10/06</w:t>
            </w:r>
          </w:p>
          <w:p w14:paraId="0B1272FE" w14:textId="164ED01B" w:rsidR="00E8339F" w:rsidRDefault="00E8339F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17/06</w:t>
            </w:r>
          </w:p>
          <w:p w14:paraId="68926BC1" w14:textId="52425111" w:rsidR="00E8339F" w:rsidRDefault="00E8339F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24/06</w:t>
            </w:r>
          </w:p>
          <w:p w14:paraId="552CE42C" w14:textId="419130E6" w:rsidR="00E8339F" w:rsidRDefault="00E8339F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01/07</w:t>
            </w:r>
          </w:p>
          <w:p w14:paraId="7A0DB853" w14:textId="052AB9E3" w:rsidR="00E8339F" w:rsidRDefault="00E8339F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08/07</w:t>
            </w:r>
          </w:p>
          <w:p w14:paraId="5329E479" w14:textId="2C7B2A54" w:rsidR="00E8339F" w:rsidRDefault="00E8339F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15/07</w:t>
            </w:r>
          </w:p>
          <w:p w14:paraId="0E24CA00" w14:textId="056BE4C8" w:rsidR="003A4BD9" w:rsidRPr="002918EF" w:rsidRDefault="00E8339F" w:rsidP="00A932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22/07</w:t>
            </w:r>
          </w:p>
        </w:tc>
        <w:tc>
          <w:tcPr>
            <w:tcW w:w="6973" w:type="dxa"/>
            <w:shd w:val="clear" w:color="auto" w:fill="auto"/>
          </w:tcPr>
          <w:p w14:paraId="225CA2AE" w14:textId="159820AA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Síncronas:</w:t>
            </w:r>
            <w:r w:rsidR="00E76EA8">
              <w:rPr>
                <w:rFonts w:ascii="Times New Roman" w:hAnsi="Times New Roman" w:cs="Times New Roman"/>
                <w:sz w:val="24"/>
                <w:szCs w:val="24"/>
              </w:rPr>
              <w:t xml:space="preserve"> Aulas Expositivas</w:t>
            </w:r>
          </w:p>
          <w:p w14:paraId="34661254" w14:textId="59580FA2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68D626A5" w14:textId="7A298787" w:rsidR="001741EF" w:rsidRPr="00A04FC0" w:rsidRDefault="00E76EA8" w:rsidP="00E76EA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64A6">
              <w:rPr>
                <w:rFonts w:ascii="Times New Roman" w:hAnsi="Times New Roman" w:cs="Times New Roman"/>
                <w:sz w:val="24"/>
                <w:szCs w:val="24"/>
              </w:rPr>
              <w:t>42h</w:t>
            </w:r>
          </w:p>
        </w:tc>
      </w:tr>
      <w:tr w:rsidR="001741EF" w:rsidRPr="00A04FC0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79D68B23" w:rsidR="001741EF" w:rsidRPr="00A04FC0" w:rsidRDefault="00E76EA8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973" w:type="dxa"/>
            <w:shd w:val="clear" w:color="auto" w:fill="auto"/>
          </w:tcPr>
          <w:p w14:paraId="402C97CD" w14:textId="5B9865B3" w:rsidR="008A4B9F" w:rsidRPr="00A04FC0" w:rsidRDefault="008A4B9F" w:rsidP="00E76EA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  <w:r w:rsidR="00E76EA8">
              <w:rPr>
                <w:rFonts w:ascii="Times New Roman" w:hAnsi="Times New Roman" w:cs="Times New Roman"/>
                <w:sz w:val="24"/>
                <w:szCs w:val="24"/>
              </w:rPr>
              <w:t xml:space="preserve"> atividades substitutivas (ver seção Metodologia de Ensino, acima).</w:t>
            </w:r>
          </w:p>
        </w:tc>
        <w:tc>
          <w:tcPr>
            <w:tcW w:w="1108" w:type="dxa"/>
            <w:shd w:val="clear" w:color="auto" w:fill="auto"/>
          </w:tcPr>
          <w:p w14:paraId="649C5097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8B472" w14:textId="2682499A" w:rsidR="00372AA5" w:rsidRPr="00A04FC0" w:rsidRDefault="00E76EA8" w:rsidP="00E76EA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72A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741EF" w:rsidRPr="00A04FC0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6BE51DA4" w:rsidR="001741EF" w:rsidRPr="00A04FC0" w:rsidRDefault="00E76EA8" w:rsidP="00A9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N/A</w:t>
            </w:r>
          </w:p>
        </w:tc>
        <w:tc>
          <w:tcPr>
            <w:tcW w:w="6973" w:type="dxa"/>
            <w:shd w:val="clear" w:color="auto" w:fill="auto"/>
          </w:tcPr>
          <w:p w14:paraId="3E98E5A5" w14:textId="53C53679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</w:t>
            </w:r>
            <w:r w:rsidR="00E76EA8">
              <w:rPr>
                <w:rFonts w:ascii="Times New Roman" w:hAnsi="Times New Roman" w:cs="Times New Roman"/>
                <w:sz w:val="24"/>
                <w:szCs w:val="24"/>
              </w:rPr>
              <w:t>ão: Leitura da Bibliografia e Elaboração de Trabalho Dissertativo.</w:t>
            </w:r>
          </w:p>
          <w:p w14:paraId="45D5D2D8" w14:textId="35A2B8D0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48DA221C" w14:textId="078CA540" w:rsidR="001741EF" w:rsidRPr="00A04FC0" w:rsidRDefault="00E76EA8" w:rsidP="00E76EA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48h</w:t>
            </w:r>
          </w:p>
        </w:tc>
      </w:tr>
      <w:tr w:rsidR="00CA0C06" w:rsidRPr="00A04FC0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7686D463" w:rsidR="00CA0C06" w:rsidRPr="002918EF" w:rsidRDefault="002918EF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90h</w:t>
            </w:r>
          </w:p>
        </w:tc>
      </w:tr>
      <w:tr w:rsidR="0051732A" w:rsidRPr="00A04FC0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4916C2DC" w14:textId="1A333299" w:rsidR="0051732A" w:rsidRDefault="004B6F1B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F59971" w14:textId="5D265212" w:rsidR="006A10B7" w:rsidRPr="002918EF" w:rsidRDefault="006A10B7" w:rsidP="00EA7A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Veteranos</w:t>
            </w:r>
            <w:r w:rsidR="002918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Pr="006A10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25/08</w:t>
            </w:r>
          </w:p>
        </w:tc>
      </w:tr>
    </w:tbl>
    <w:p w14:paraId="68C35FD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040E464" w14:textId="7262D452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785017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CC83" w14:textId="77777777" w:rsidR="008B3FD7" w:rsidRDefault="008B3FD7" w:rsidP="003D7D73">
      <w:pPr>
        <w:spacing w:before="0" w:after="0"/>
      </w:pPr>
      <w:r>
        <w:separator/>
      </w:r>
    </w:p>
  </w:endnote>
  <w:endnote w:type="continuationSeparator" w:id="0">
    <w:p w14:paraId="5CEAEF9F" w14:textId="77777777" w:rsidR="008B3FD7" w:rsidRDefault="008B3FD7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A8E60" w14:textId="77777777" w:rsidR="006B5ED7" w:rsidRDefault="006B5E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2AB70" w14:textId="77777777" w:rsidR="006B5ED7" w:rsidRDefault="006B5ED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7DBB1" w14:textId="77777777" w:rsidR="006B5ED7" w:rsidRDefault="006B5E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9CB4" w14:textId="77777777" w:rsidR="008B3FD7" w:rsidRDefault="008B3FD7" w:rsidP="003D7D73">
      <w:pPr>
        <w:spacing w:before="0" w:after="0"/>
      </w:pPr>
      <w:r>
        <w:separator/>
      </w:r>
    </w:p>
  </w:footnote>
  <w:footnote w:type="continuationSeparator" w:id="0">
    <w:p w14:paraId="22A3CE2D" w14:textId="77777777" w:rsidR="008B3FD7" w:rsidRDefault="008B3FD7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089F" w14:textId="77777777" w:rsidR="006B5ED7" w:rsidRDefault="006B5E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BBB" w14:textId="35AADBF2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6DE43" w14:textId="77777777" w:rsidR="006B5ED7" w:rsidRDefault="006B5E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D7CE2"/>
    <w:multiLevelType w:val="hybridMultilevel"/>
    <w:tmpl w:val="AEA20778"/>
    <w:lvl w:ilvl="0" w:tplc="5E9C2542">
      <w:start w:val="1"/>
      <w:numFmt w:val="decimal"/>
      <w:lvlText w:val="(%1)"/>
      <w:lvlJc w:val="left"/>
      <w:pPr>
        <w:ind w:left="1060" w:hanging="7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5C50"/>
    <w:rsid w:val="00021D54"/>
    <w:rsid w:val="0004519C"/>
    <w:rsid w:val="000574AE"/>
    <w:rsid w:val="00062157"/>
    <w:rsid w:val="00066EF9"/>
    <w:rsid w:val="000B212A"/>
    <w:rsid w:val="000B64E4"/>
    <w:rsid w:val="000C14BA"/>
    <w:rsid w:val="000D5B3B"/>
    <w:rsid w:val="000E0A67"/>
    <w:rsid w:val="000E781C"/>
    <w:rsid w:val="000F4381"/>
    <w:rsid w:val="001026A3"/>
    <w:rsid w:val="001128EE"/>
    <w:rsid w:val="0012471D"/>
    <w:rsid w:val="0012761A"/>
    <w:rsid w:val="001445A6"/>
    <w:rsid w:val="00161219"/>
    <w:rsid w:val="001741EF"/>
    <w:rsid w:val="0018103B"/>
    <w:rsid w:val="001831D5"/>
    <w:rsid w:val="00187C52"/>
    <w:rsid w:val="001900D7"/>
    <w:rsid w:val="001A05F6"/>
    <w:rsid w:val="001A0BB2"/>
    <w:rsid w:val="001A392F"/>
    <w:rsid w:val="001C7884"/>
    <w:rsid w:val="001E0B86"/>
    <w:rsid w:val="001E0E91"/>
    <w:rsid w:val="001F1168"/>
    <w:rsid w:val="002171B5"/>
    <w:rsid w:val="00245C97"/>
    <w:rsid w:val="0025011A"/>
    <w:rsid w:val="00261EB7"/>
    <w:rsid w:val="00270D92"/>
    <w:rsid w:val="00271D97"/>
    <w:rsid w:val="002745C1"/>
    <w:rsid w:val="00276029"/>
    <w:rsid w:val="00282827"/>
    <w:rsid w:val="00291113"/>
    <w:rsid w:val="002918EF"/>
    <w:rsid w:val="00295E27"/>
    <w:rsid w:val="0029713F"/>
    <w:rsid w:val="002B1DFD"/>
    <w:rsid w:val="002C7061"/>
    <w:rsid w:val="002D421D"/>
    <w:rsid w:val="00314D10"/>
    <w:rsid w:val="00330E56"/>
    <w:rsid w:val="003372C2"/>
    <w:rsid w:val="003412BE"/>
    <w:rsid w:val="003431DF"/>
    <w:rsid w:val="003434FE"/>
    <w:rsid w:val="00372AA5"/>
    <w:rsid w:val="003731EC"/>
    <w:rsid w:val="003A3B61"/>
    <w:rsid w:val="003A4BD9"/>
    <w:rsid w:val="003B69A0"/>
    <w:rsid w:val="003D1500"/>
    <w:rsid w:val="003D7D73"/>
    <w:rsid w:val="003E1599"/>
    <w:rsid w:val="003E24CF"/>
    <w:rsid w:val="003E70D2"/>
    <w:rsid w:val="004172A3"/>
    <w:rsid w:val="0042492C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4609"/>
    <w:rsid w:val="004B6F1B"/>
    <w:rsid w:val="00511780"/>
    <w:rsid w:val="0051732A"/>
    <w:rsid w:val="0053702B"/>
    <w:rsid w:val="00564488"/>
    <w:rsid w:val="00565100"/>
    <w:rsid w:val="0056663E"/>
    <w:rsid w:val="0056665A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44481"/>
    <w:rsid w:val="00661652"/>
    <w:rsid w:val="006865A0"/>
    <w:rsid w:val="006A10B7"/>
    <w:rsid w:val="006A64A6"/>
    <w:rsid w:val="006B1D58"/>
    <w:rsid w:val="006B246E"/>
    <w:rsid w:val="006B5ED7"/>
    <w:rsid w:val="006C3D21"/>
    <w:rsid w:val="006C4F3E"/>
    <w:rsid w:val="00717F4C"/>
    <w:rsid w:val="00725FC0"/>
    <w:rsid w:val="00737244"/>
    <w:rsid w:val="00742D0B"/>
    <w:rsid w:val="00751AEF"/>
    <w:rsid w:val="00767411"/>
    <w:rsid w:val="007A1478"/>
    <w:rsid w:val="007A3588"/>
    <w:rsid w:val="007A514B"/>
    <w:rsid w:val="007A584C"/>
    <w:rsid w:val="007B4F68"/>
    <w:rsid w:val="007D5B9D"/>
    <w:rsid w:val="007F7F81"/>
    <w:rsid w:val="008147BB"/>
    <w:rsid w:val="00832A9E"/>
    <w:rsid w:val="008350DD"/>
    <w:rsid w:val="008508B4"/>
    <w:rsid w:val="008622C0"/>
    <w:rsid w:val="00862D08"/>
    <w:rsid w:val="008A4B9F"/>
    <w:rsid w:val="008A7B49"/>
    <w:rsid w:val="008B3FD7"/>
    <w:rsid w:val="008C6174"/>
    <w:rsid w:val="008C7160"/>
    <w:rsid w:val="008F0E35"/>
    <w:rsid w:val="008F2271"/>
    <w:rsid w:val="008F5379"/>
    <w:rsid w:val="009332FA"/>
    <w:rsid w:val="0093436F"/>
    <w:rsid w:val="00960464"/>
    <w:rsid w:val="00986834"/>
    <w:rsid w:val="009877A0"/>
    <w:rsid w:val="009A102C"/>
    <w:rsid w:val="009A5184"/>
    <w:rsid w:val="009A5713"/>
    <w:rsid w:val="009B5E2B"/>
    <w:rsid w:val="009D6D7F"/>
    <w:rsid w:val="009E3D23"/>
    <w:rsid w:val="00A04FC0"/>
    <w:rsid w:val="00A126F9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AE00DD"/>
    <w:rsid w:val="00B12C91"/>
    <w:rsid w:val="00B153AC"/>
    <w:rsid w:val="00B234A6"/>
    <w:rsid w:val="00B23778"/>
    <w:rsid w:val="00B304C8"/>
    <w:rsid w:val="00B43A9E"/>
    <w:rsid w:val="00B57C05"/>
    <w:rsid w:val="00B67965"/>
    <w:rsid w:val="00B73398"/>
    <w:rsid w:val="00B73B41"/>
    <w:rsid w:val="00B85EBE"/>
    <w:rsid w:val="00BA06F2"/>
    <w:rsid w:val="00BA1C40"/>
    <w:rsid w:val="00BA64A7"/>
    <w:rsid w:val="00BB6824"/>
    <w:rsid w:val="00BC1989"/>
    <w:rsid w:val="00BE4407"/>
    <w:rsid w:val="00BE5183"/>
    <w:rsid w:val="00BE72A6"/>
    <w:rsid w:val="00C044DA"/>
    <w:rsid w:val="00C05908"/>
    <w:rsid w:val="00C14D9C"/>
    <w:rsid w:val="00C74608"/>
    <w:rsid w:val="00CA055A"/>
    <w:rsid w:val="00CA0C06"/>
    <w:rsid w:val="00CA0E7D"/>
    <w:rsid w:val="00CA5956"/>
    <w:rsid w:val="00CB0F75"/>
    <w:rsid w:val="00CC112C"/>
    <w:rsid w:val="00CC23BE"/>
    <w:rsid w:val="00CC2854"/>
    <w:rsid w:val="00CC744D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C64DB"/>
    <w:rsid w:val="00DF4FB6"/>
    <w:rsid w:val="00E073F0"/>
    <w:rsid w:val="00E34EB9"/>
    <w:rsid w:val="00E40043"/>
    <w:rsid w:val="00E433C8"/>
    <w:rsid w:val="00E524A3"/>
    <w:rsid w:val="00E6385A"/>
    <w:rsid w:val="00E76EA8"/>
    <w:rsid w:val="00E80596"/>
    <w:rsid w:val="00E82410"/>
    <w:rsid w:val="00E8339F"/>
    <w:rsid w:val="00E85B88"/>
    <w:rsid w:val="00E97CD3"/>
    <w:rsid w:val="00EA7AAA"/>
    <w:rsid w:val="00EB0F45"/>
    <w:rsid w:val="00ED5135"/>
    <w:rsid w:val="00F32EAF"/>
    <w:rsid w:val="00F454FF"/>
    <w:rsid w:val="00F47438"/>
    <w:rsid w:val="00F4763E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1AEF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00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1775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6</cp:revision>
  <dcterms:created xsi:type="dcterms:W3CDTF">2021-02-23T18:43:00Z</dcterms:created>
  <dcterms:modified xsi:type="dcterms:W3CDTF">2021-03-03T12:14:00Z</dcterms:modified>
</cp:coreProperties>
</file>