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71F2B501" w:rsidR="0062595D" w:rsidRPr="005123E7" w:rsidRDefault="00304B14" w:rsidP="005123E7">
      <w:pPr>
        <w:pStyle w:val="Subttulo"/>
        <w:jc w:val="center"/>
        <w:rPr>
          <w:sz w:val="28"/>
          <w:szCs w:val="28"/>
        </w:rPr>
      </w:pPr>
      <w:r w:rsidRPr="005123E7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926F70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15599D0" w14:textId="35B8B451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UNIDADE CURRICULAR:  </w:t>
            </w:r>
            <w:r w:rsidR="0006069D" w:rsidRPr="00926F70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Leitura e Interpretação de Textos Clássicos</w:t>
            </w:r>
            <w:r w:rsidR="00C07B94" w:rsidRPr="00926F70">
              <w:rPr>
                <w:rFonts w:asciiTheme="minorHAnsi" w:eastAsia="Calibri" w:hAnsiTheme="minorHAnsi" w:cs="Calibri"/>
                <w:iCs/>
                <w:sz w:val="22"/>
                <w:szCs w:val="22"/>
              </w:rPr>
              <w:t xml:space="preserve"> I</w:t>
            </w:r>
            <w:r w:rsidR="004F2E1F" w:rsidRPr="00926F70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</w:t>
            </w:r>
            <w:r w:rsidR="004F2E1F" w:rsidRPr="00926F70">
              <w:rPr>
                <w:rFonts w:asciiTheme="minorHAnsi" w:eastAsia="Calibri" w:hAnsiTheme="minorHAnsi" w:cs="Calibri"/>
                <w:iCs/>
                <w:sz w:val="22"/>
                <w:szCs w:val="22"/>
              </w:rPr>
              <w:t>- Turma A</w:t>
            </w:r>
          </w:p>
        </w:tc>
      </w:tr>
      <w:tr w:rsidR="0062595D" w:rsidRPr="00926F70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64284A81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C87596"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60h</w:t>
            </w:r>
          </w:p>
          <w:p w14:paraId="01D943AA" w14:textId="33D8DB22" w:rsidR="0062595D" w:rsidRPr="00926F7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já ministradas presencialmente (de 02/03 a 13/03/2020): </w:t>
            </w:r>
            <w:r w:rsidR="0006069D"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8</w:t>
            </w: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  <w:p w14:paraId="07058489" w14:textId="784425D9" w:rsidR="0062595D" w:rsidRPr="00926F70" w:rsidRDefault="00304B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Horas a serem ministradas em ADE (de 03/08 a 19/10/2020): </w:t>
            </w:r>
            <w:r w:rsidR="0006069D"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52</w:t>
            </w: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926F70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5D9E1980" w:rsidR="0062595D" w:rsidRPr="00926F70" w:rsidRDefault="0087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Breno </w:t>
            </w:r>
            <w:proofErr w:type="spellStart"/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Zuppolini</w:t>
            </w:r>
            <w:proofErr w:type="spellEnd"/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4B9A039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</w:p>
          <w:p w14:paraId="00446C59" w14:textId="69A3DF78" w:rsidR="0062595D" w:rsidRPr="00926F70" w:rsidRDefault="004F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sz w:val="22"/>
                <w:szCs w:val="22"/>
              </w:rPr>
              <w:t>breno.zuppolini@unifesp.br</w:t>
            </w:r>
          </w:p>
        </w:tc>
      </w:tr>
      <w:tr w:rsidR="0062595D" w:rsidRPr="00926F70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736723FA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1</w:t>
            </w:r>
            <w:r w:rsidR="005218D5" w:rsidRPr="00926F70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926F70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Departamentos/Disciplinas participantes: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926F70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C075D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0C0FAB1F" w14:textId="1A5BA20F" w:rsidR="0062595D" w:rsidRPr="00926F70" w:rsidRDefault="00FE067C" w:rsidP="00FE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sz w:val="22"/>
                <w:szCs w:val="22"/>
              </w:rPr>
              <w:t xml:space="preserve">Este curso pretende promover um estudo cuidadoso de passagens selecionadas da </w:t>
            </w:r>
            <w:proofErr w:type="spellStart"/>
            <w:r w:rsidRPr="00926F70">
              <w:rPr>
                <w:rFonts w:asciiTheme="minorHAnsi" w:hAnsiTheme="minorHAnsi"/>
                <w:i/>
                <w:sz w:val="22"/>
                <w:szCs w:val="22"/>
              </w:rPr>
              <w:t>Ethica</w:t>
            </w:r>
            <w:proofErr w:type="spellEnd"/>
            <w:r w:rsidRPr="00926F7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926F70">
              <w:rPr>
                <w:rFonts w:asciiTheme="minorHAnsi" w:hAnsiTheme="minorHAnsi"/>
                <w:i/>
                <w:sz w:val="22"/>
                <w:szCs w:val="22"/>
              </w:rPr>
              <w:t>Nicomachea</w:t>
            </w:r>
            <w:proofErr w:type="spellEnd"/>
            <w:r w:rsidRPr="00926F70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Pr="00926F70">
              <w:rPr>
                <w:rFonts w:asciiTheme="minorHAnsi" w:hAnsiTheme="minorHAnsi"/>
                <w:i/>
                <w:sz w:val="22"/>
                <w:szCs w:val="22"/>
              </w:rPr>
              <w:t>EN</w:t>
            </w:r>
            <w:r w:rsidRPr="00926F70">
              <w:rPr>
                <w:rFonts w:asciiTheme="minorHAnsi" w:hAnsiTheme="minorHAnsi"/>
                <w:sz w:val="22"/>
                <w:szCs w:val="22"/>
              </w:rPr>
              <w:t>) de Aristóteles, objetivando: (i) o domínio de conceitos básicos para leitura e interpretação de textos clássicos (proposição, argumento, verdade, validade, definição, entre outros), (</w:t>
            </w:r>
            <w:proofErr w:type="spellStart"/>
            <w:r w:rsidRPr="00926F70">
              <w:rPr>
                <w:rFonts w:asciiTheme="minorHAnsi" w:hAnsiTheme="minorHAnsi"/>
                <w:sz w:val="22"/>
                <w:szCs w:val="22"/>
              </w:rPr>
              <w:t>ii</w:t>
            </w:r>
            <w:proofErr w:type="spellEnd"/>
            <w:r w:rsidRPr="00926F70">
              <w:rPr>
                <w:rFonts w:asciiTheme="minorHAnsi" w:hAnsiTheme="minorHAnsi"/>
                <w:sz w:val="22"/>
                <w:szCs w:val="22"/>
              </w:rPr>
              <w:t>) a construção de hipóteses exegéticas e confrontação com evidências textuais, (</w:t>
            </w:r>
            <w:proofErr w:type="spellStart"/>
            <w:r w:rsidRPr="00926F70">
              <w:rPr>
                <w:rFonts w:asciiTheme="minorHAnsi" w:hAnsiTheme="minorHAnsi"/>
                <w:sz w:val="22"/>
                <w:szCs w:val="22"/>
              </w:rPr>
              <w:t>iii</w:t>
            </w:r>
            <w:proofErr w:type="spellEnd"/>
            <w:r w:rsidRPr="00926F70">
              <w:rPr>
                <w:rFonts w:asciiTheme="minorHAnsi" w:hAnsiTheme="minorHAnsi"/>
                <w:sz w:val="22"/>
                <w:szCs w:val="22"/>
              </w:rPr>
              <w:t>) a elaboração de textos dissertativos com defesa de teses de interpretação e (</w:t>
            </w:r>
            <w:proofErr w:type="spellStart"/>
            <w:r w:rsidRPr="00926F70">
              <w:rPr>
                <w:rFonts w:asciiTheme="minorHAnsi" w:hAnsiTheme="minorHAnsi"/>
                <w:sz w:val="22"/>
                <w:szCs w:val="22"/>
              </w:rPr>
              <w:t>iv</w:t>
            </w:r>
            <w:proofErr w:type="spellEnd"/>
            <w:r w:rsidRPr="00926F70">
              <w:rPr>
                <w:rFonts w:asciiTheme="minorHAnsi" w:hAnsiTheme="minorHAnsi"/>
                <w:sz w:val="22"/>
                <w:szCs w:val="22"/>
              </w:rPr>
              <w:t xml:space="preserve">) uma introdução à filosofia prática de Aristóteles.  </w:t>
            </w:r>
          </w:p>
        </w:tc>
      </w:tr>
      <w:tr w:rsidR="0062595D" w:rsidRPr="00926F70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0272EB92" w:rsidR="0062595D" w:rsidRPr="00926F70" w:rsidRDefault="00B77CEA" w:rsidP="00B77CEA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sz w:val="22"/>
                <w:szCs w:val="22"/>
              </w:rPr>
              <w:t>O curso propõe introduzir o aluno na leitura de textos clássicos, segundo diferentes métodos de interpretação.</w:t>
            </w:r>
          </w:p>
        </w:tc>
      </w:tr>
      <w:tr w:rsidR="0062595D" w:rsidRPr="00926F70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8A921C3" w14:textId="77777777" w:rsidR="0062595D" w:rsidRPr="00926F70" w:rsidRDefault="00304B14" w:rsidP="00DA6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2ECF1703" w14:textId="77777777" w:rsidR="00FE067C" w:rsidRPr="00926F70" w:rsidRDefault="00FE067C" w:rsidP="00FE067C">
            <w:pPr>
              <w:pStyle w:val="Recuodecorpodetexto"/>
              <w:spacing w:line="36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Etapa 1 (</w:t>
            </w:r>
            <w:r w:rsidRPr="00926F70">
              <w:rPr>
                <w:rFonts w:asciiTheme="minorHAnsi" w:hAnsiTheme="minorHAnsi"/>
                <w:i/>
                <w:noProof w:val="0"/>
                <w:sz w:val="22"/>
                <w:szCs w:val="22"/>
              </w:rPr>
              <w:t>EN</w:t>
            </w:r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I 1-13): sumo bem e felicidade (</w:t>
            </w:r>
            <w:proofErr w:type="spellStart"/>
            <w:r w:rsidRPr="00926F70">
              <w:rPr>
                <w:rFonts w:asciiTheme="minorHAnsi" w:hAnsiTheme="minorHAnsi"/>
                <w:i/>
                <w:noProof w:val="0"/>
                <w:sz w:val="22"/>
                <w:szCs w:val="22"/>
              </w:rPr>
              <w:t>eudaimonia</w:t>
            </w:r>
            <w:proofErr w:type="spellEnd"/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); bem inclusivo vs. bem dominante; virtudes do caráter vs. virtudes intelectuais.</w:t>
            </w:r>
          </w:p>
          <w:p w14:paraId="59B2A156" w14:textId="77777777" w:rsidR="00FE067C" w:rsidRPr="00926F70" w:rsidRDefault="00FE067C" w:rsidP="00FE067C">
            <w:pPr>
              <w:pStyle w:val="Recuodecorpodetexto"/>
              <w:spacing w:line="36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Etapa 2 (</w:t>
            </w:r>
            <w:r w:rsidRPr="00926F70">
              <w:rPr>
                <w:rFonts w:asciiTheme="minorHAnsi" w:hAnsiTheme="minorHAnsi"/>
                <w:i/>
                <w:noProof w:val="0"/>
                <w:sz w:val="22"/>
                <w:szCs w:val="22"/>
              </w:rPr>
              <w:t>EN</w:t>
            </w:r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II 1-9; VI 1-13): virtudes do caráter; habituação; escolha; </w:t>
            </w:r>
            <w:proofErr w:type="spellStart"/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mediedade</w:t>
            </w:r>
            <w:proofErr w:type="spellEnd"/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; sabedoria prática (</w:t>
            </w:r>
            <w:proofErr w:type="spellStart"/>
            <w:r w:rsidRPr="00926F70">
              <w:rPr>
                <w:rFonts w:asciiTheme="minorHAnsi" w:hAnsiTheme="minorHAnsi"/>
                <w:i/>
                <w:noProof w:val="0"/>
                <w:sz w:val="22"/>
                <w:szCs w:val="22"/>
              </w:rPr>
              <w:t>phronesis</w:t>
            </w:r>
            <w:proofErr w:type="spellEnd"/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) e virtudes do intelecto.</w:t>
            </w:r>
          </w:p>
          <w:p w14:paraId="34E44984" w14:textId="77777777" w:rsidR="00FE067C" w:rsidRPr="00926F70" w:rsidRDefault="00FE067C" w:rsidP="00FE067C">
            <w:pPr>
              <w:pStyle w:val="Recuodecorpodetexto"/>
              <w:spacing w:line="360" w:lineRule="auto"/>
              <w:rPr>
                <w:rFonts w:asciiTheme="minorHAnsi" w:hAnsiTheme="minorHAnsi"/>
                <w:noProof w:val="0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Etapa 3 (</w:t>
            </w:r>
            <w:r w:rsidRPr="00926F70">
              <w:rPr>
                <w:rFonts w:asciiTheme="minorHAnsi" w:hAnsiTheme="minorHAnsi"/>
                <w:i/>
                <w:noProof w:val="0"/>
                <w:sz w:val="22"/>
                <w:szCs w:val="22"/>
              </w:rPr>
              <w:t>EN</w:t>
            </w:r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 xml:space="preserve"> III 1-5; VII 1-10): voluntariedade; responsabilidade moral; deliberação; incontinência (</w:t>
            </w:r>
            <w:proofErr w:type="spellStart"/>
            <w:r w:rsidRPr="00926F70">
              <w:rPr>
                <w:rFonts w:asciiTheme="minorHAnsi" w:hAnsiTheme="minorHAnsi"/>
                <w:i/>
                <w:noProof w:val="0"/>
                <w:sz w:val="22"/>
                <w:szCs w:val="22"/>
              </w:rPr>
              <w:t>akrasia</w:t>
            </w:r>
            <w:proofErr w:type="spellEnd"/>
            <w:r w:rsidRPr="00926F70">
              <w:rPr>
                <w:rFonts w:asciiTheme="minorHAnsi" w:hAnsiTheme="minorHAnsi"/>
                <w:noProof w:val="0"/>
                <w:sz w:val="22"/>
                <w:szCs w:val="22"/>
              </w:rPr>
              <w:t>).</w:t>
            </w:r>
          </w:p>
          <w:p w14:paraId="2C471110" w14:textId="34E52EA9" w:rsidR="00DA64FA" w:rsidRPr="00926F70" w:rsidRDefault="00FE067C" w:rsidP="00FE06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sz w:val="22"/>
                <w:szCs w:val="22"/>
              </w:rPr>
              <w:lastRenderedPageBreak/>
              <w:t>Etapa 4 (</w:t>
            </w:r>
            <w:r w:rsidRPr="00926F70">
              <w:rPr>
                <w:rFonts w:asciiTheme="minorHAnsi" w:hAnsiTheme="minorHAnsi"/>
                <w:i/>
                <w:sz w:val="22"/>
                <w:szCs w:val="22"/>
              </w:rPr>
              <w:t>EN</w:t>
            </w:r>
            <w:r w:rsidRPr="00926F70">
              <w:rPr>
                <w:rFonts w:asciiTheme="minorHAnsi" w:hAnsiTheme="minorHAnsi"/>
                <w:sz w:val="22"/>
                <w:szCs w:val="22"/>
              </w:rPr>
              <w:t xml:space="preserve"> X 6-8): felicidade e sabedoria teórica.</w:t>
            </w:r>
          </w:p>
        </w:tc>
      </w:tr>
      <w:tr w:rsidR="0062595D" w:rsidRPr="00926F70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B73CD3" w14:textId="31BC931A" w:rsidR="00074B04" w:rsidRPr="00926F70" w:rsidRDefault="00304B14" w:rsidP="00ED3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6310B398" w14:textId="77777777" w:rsidR="00074B04" w:rsidRPr="00926F70" w:rsidRDefault="00074B04" w:rsidP="00074B04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O docente responsável criará uma turma na plataforma Google 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</w:rPr>
              <w:t>Classroom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 voltada exclusivamente para as atividades da presente disciplina. Os/as alunos/as receberão um convite para participação através dos endereços de 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</w:rPr>
              <w:t>email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 cadastrados na Intranet. As atividades a serem realizadas incluem:</w:t>
            </w:r>
          </w:p>
          <w:p w14:paraId="12C6B21A" w14:textId="77777777" w:rsidR="00074B04" w:rsidRPr="00926F70" w:rsidRDefault="00074B04" w:rsidP="00074B04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BAB47CA" w14:textId="77777777" w:rsidR="00074B04" w:rsidRPr="00926F70" w:rsidRDefault="00074B04" w:rsidP="00074B04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line="360" w:lineRule="auto"/>
              <w:ind w:left="13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>Aulas Expositivas (CH Total: 40):</w:t>
            </w:r>
          </w:p>
          <w:p w14:paraId="24EE0101" w14:textId="77777777" w:rsidR="00074B04" w:rsidRPr="00926F70" w:rsidRDefault="00074B04" w:rsidP="00074B04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26F7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59A93723" w14:textId="77777777" w:rsidR="00074B04" w:rsidRPr="00926F70" w:rsidRDefault="00074B04" w:rsidP="00074B04">
            <w:pPr>
              <w:snapToGrid w:val="0"/>
              <w:spacing w:line="360" w:lineRule="auto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r w:rsidRPr="00926F70">
              <w:rPr>
                <w:rFonts w:asciiTheme="minorHAnsi" w:hAnsiTheme="minorHAnsi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  <w:p w14:paraId="7FAFFE3E" w14:textId="4CC9D3CD" w:rsidR="00074B04" w:rsidRPr="00926F70" w:rsidRDefault="00074B04" w:rsidP="006041AA">
            <w:pPr>
              <w:snapToGrid w:val="0"/>
              <w:spacing w:line="360" w:lineRule="auto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>- Dez encontros semanais: segundas-feiras, 14h-18h (vespertino), 19h-23h (noturno).</w:t>
            </w:r>
          </w:p>
          <w:p w14:paraId="1DB9869D" w14:textId="77777777" w:rsidR="00074B04" w:rsidRPr="00926F70" w:rsidRDefault="00074B04" w:rsidP="00074B04">
            <w:pPr>
              <w:snapToGrid w:val="0"/>
              <w:spacing w:line="360" w:lineRule="auto"/>
              <w:ind w:firstLine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16DF2B3" w14:textId="77777777" w:rsidR="00074B04" w:rsidRPr="00926F70" w:rsidRDefault="00074B04" w:rsidP="00074B04">
            <w:pPr>
              <w:snapToGrid w:val="0"/>
              <w:spacing w:line="360" w:lineRule="auto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Observações: As aulas ocorrerão ao vivo via Google 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</w:rPr>
              <w:t>Meet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 (o link será disponibilizado oportunamente) e serão gravadas e disponibilizadas posteriormente na plataforma Google 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</w:rPr>
              <w:t>Classroom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>. Para cumprir a carga horária, os/as alunos/as devem escolher, a cada semana, entre duas opções: (i) assistir às aulas ao vivo, como atividade síncrona, com controle de participação feito pelo docente OU (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</w:rPr>
              <w:t>ii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>) assistir posteriormente à gravação das aulas, como atividade assíncrona, e realizar exercícios online sobre o conteúdo ministrado.</w:t>
            </w:r>
          </w:p>
          <w:p w14:paraId="0440B449" w14:textId="77777777" w:rsidR="005C47D5" w:rsidRPr="00926F70" w:rsidRDefault="005C47D5" w:rsidP="005C47D5">
            <w:pPr>
              <w:snapToGrid w:val="0"/>
              <w:spacing w:line="360" w:lineRule="auto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1510214" w14:textId="77777777" w:rsidR="005C47D5" w:rsidRPr="00926F70" w:rsidRDefault="005C47D5" w:rsidP="005C47D5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(2) </w:t>
            </w:r>
            <w:r w:rsidRPr="00926F70">
              <w:rPr>
                <w:rFonts w:asciiTheme="minorHAnsi" w:hAnsiTheme="minorHAnsi" w:cs="Arial"/>
                <w:sz w:val="22"/>
                <w:szCs w:val="22"/>
              </w:rPr>
              <w:tab/>
              <w:t>Elaboração de Texto Dissertativo (CH Total: 12):</w:t>
            </w:r>
          </w:p>
          <w:p w14:paraId="71A1DB8F" w14:textId="41B42336" w:rsidR="005C47D5" w:rsidRPr="00926F70" w:rsidRDefault="005C47D5" w:rsidP="00F043AB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14:paraId="4CD42817" w14:textId="77777777" w:rsidR="00F043AB" w:rsidRPr="00926F70" w:rsidRDefault="00F043AB" w:rsidP="00F043AB">
            <w:pPr>
              <w:snapToGrid w:val="0"/>
              <w:spacing w:line="360" w:lineRule="auto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- Os/as alunos/as deverão elaborar e entregar um texto dissertativo sobre tema a ser especificado oportunamente. O docente fornecerá instruções detalhadas sobre como produzir um texto desta natureza. A entrega será online, através da Plataforma Google 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</w:rPr>
              <w:t>Classroom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534D0560" w14:textId="112F82F1" w:rsidR="00F043AB" w:rsidRPr="00926F70" w:rsidRDefault="00F043AB" w:rsidP="00F043AB">
            <w:pPr>
              <w:snapToGrid w:val="0"/>
              <w:spacing w:line="360" w:lineRule="auto"/>
              <w:ind w:left="70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- O texto receberá uma nota (de 0 a 10). O/a aluno/a deverá tirar nota maior ou igual a 5,0 para computar a carga horária correspondente. </w:t>
            </w:r>
          </w:p>
          <w:p w14:paraId="40485D2E" w14:textId="11FF0065" w:rsidR="0062595D" w:rsidRPr="00926F70" w:rsidRDefault="0062595D" w:rsidP="00ED37C9">
            <w:pPr>
              <w:snapToGrid w:val="0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926F70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0D6ED3F" w14:textId="36B79367" w:rsidR="00ED37C9" w:rsidRPr="00926F70" w:rsidRDefault="00304B14" w:rsidP="00F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40404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  <w:r w:rsidR="006041AA" w:rsidRPr="00926F70">
              <w:rPr>
                <w:rFonts w:asciiTheme="minorHAnsi" w:eastAsia="Calibri" w:hAnsiTheme="minorHAnsi" w:cs="Calibri"/>
                <w:iCs/>
                <w:color w:val="404040"/>
                <w:sz w:val="22"/>
                <w:szCs w:val="22"/>
              </w:rPr>
              <w:t>.</w:t>
            </w:r>
          </w:p>
          <w:p w14:paraId="3B9EA684" w14:textId="77777777" w:rsidR="00F043AB" w:rsidRPr="00926F70" w:rsidRDefault="00F043AB" w:rsidP="00F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Cs/>
                <w:color w:val="404040"/>
                <w:sz w:val="22"/>
                <w:szCs w:val="22"/>
              </w:rPr>
            </w:pPr>
          </w:p>
          <w:p w14:paraId="33879A9F" w14:textId="77777777" w:rsidR="0062595D" w:rsidRPr="00926F70" w:rsidRDefault="00F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>Para ser aprovado na disciplina, o/a aluno/a deverá computar com sucesso a carga horária das atividades (1) e (2) previstas acima (na seção Metodologia de Ensino).</w:t>
            </w:r>
          </w:p>
          <w:p w14:paraId="0EED0F1A" w14:textId="77777777" w:rsidR="00F043AB" w:rsidRDefault="00F04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  <w:p w14:paraId="4CAB5BDB" w14:textId="1FB21C1C" w:rsidR="00926F70" w:rsidRPr="00926F70" w:rsidRDefault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926F70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926F70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Bibliografia</w:t>
            </w:r>
          </w:p>
          <w:p w14:paraId="43FDEF67" w14:textId="555ED9DB" w:rsidR="001D4255" w:rsidRPr="00926F70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5E1AAC73" w14:textId="77777777" w:rsidR="00F50850" w:rsidRPr="00926F70" w:rsidRDefault="00F50850" w:rsidP="00F50850">
            <w:pPr>
              <w:spacing w:before="3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926F7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Básica</w:t>
            </w:r>
          </w:p>
          <w:p w14:paraId="4056B356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6F70">
              <w:rPr>
                <w:rFonts w:asciiTheme="minorHAnsi" w:hAnsiTheme="minorHAnsi"/>
                <w:sz w:val="22"/>
                <w:szCs w:val="22"/>
              </w:rPr>
              <w:t>Textos de Aristóteles:</w:t>
            </w:r>
          </w:p>
          <w:p w14:paraId="592AB1DF" w14:textId="77777777" w:rsidR="00F50850" w:rsidRPr="00926F70" w:rsidRDefault="00F50850" w:rsidP="00F50850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>ANGIONI, L. “</w:t>
            </w:r>
            <w:r w:rsidRPr="00926F70">
              <w:rPr>
                <w:rFonts w:asciiTheme="minorHAnsi" w:eastAsia="Calibri" w:hAnsiTheme="minorHAnsi" w:cs="Arial"/>
                <w:iCs/>
                <w:color w:val="000000"/>
                <w:sz w:val="22"/>
                <w:szCs w:val="22"/>
                <w:lang w:eastAsia="en-GB"/>
              </w:rPr>
              <w:t xml:space="preserve">Ética a </w:t>
            </w:r>
            <w:proofErr w:type="spellStart"/>
            <w:r w:rsidRPr="00926F70">
              <w:rPr>
                <w:rFonts w:asciiTheme="minorHAnsi" w:eastAsia="Calibri" w:hAnsiTheme="minorHAnsi" w:cs="Arial"/>
                <w:iCs/>
                <w:color w:val="000000"/>
                <w:sz w:val="22"/>
                <w:szCs w:val="22"/>
                <w:lang w:eastAsia="en-GB"/>
              </w:rPr>
              <w:t>Nicômaco</w:t>
            </w:r>
            <w:proofErr w:type="spellEnd"/>
            <w:r w:rsidRPr="00926F70">
              <w:rPr>
                <w:rFonts w:asciiTheme="minorHAnsi" w:eastAsia="Calibri" w:hAnsiTheme="minorHAnsi" w:cs="Arial"/>
                <w:iCs/>
                <w:color w:val="000000"/>
                <w:sz w:val="22"/>
                <w:szCs w:val="22"/>
                <w:lang w:eastAsia="en-GB"/>
              </w:rPr>
              <w:t>: Livro VI”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.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Dissertatio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34, 2011, pp. 285-300. Disponível on-line em </w:t>
            </w:r>
            <w:r w:rsidRPr="00926F70">
              <w:rPr>
                <w:rFonts w:asciiTheme="minorHAnsi" w:eastAsia="Calibri" w:hAnsiTheme="minorHAnsi" w:cs="Arial"/>
                <w:color w:val="00009A"/>
                <w:sz w:val="22"/>
                <w:szCs w:val="22"/>
                <w:lang w:eastAsia="en-GB"/>
              </w:rPr>
              <w:t>http://www.ufpel.edu.br/isp/dissertatio/revistas/34/12.pdf</w:t>
            </w:r>
          </w:p>
          <w:p w14:paraId="55F6AABA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iCs/>
                <w:sz w:val="22"/>
                <w:szCs w:val="22"/>
                <w:lang w:eastAsia="en-GB"/>
              </w:rPr>
              <w:t xml:space="preserve">BYWATER, I. (ed.)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Aristotelis</w:t>
            </w:r>
            <w:proofErr w:type="spellEnd"/>
            <w:r w:rsidRPr="00926F70">
              <w:rPr>
                <w:rFonts w:asciiTheme="minorHAnsi" w:eastAsia="Calibri" w:hAnsiTheme="minorHAnsi" w:cs="Arial"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Ethica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Nicomachea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Bywater, I. Oxford: Oxford University Press, 1894.</w:t>
            </w:r>
          </w:p>
          <w:p w14:paraId="73007EEE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IRWIN, T.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: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en-GB" w:eastAsia="en-GB"/>
              </w:rPr>
              <w:t>Nicomachean Ethics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. 2ed. Indianapolis: Hackett Publishing Company, 1999.</w:t>
            </w:r>
          </w:p>
          <w:p w14:paraId="751256BC" w14:textId="77777777" w:rsidR="00F50850" w:rsidRPr="00926F70" w:rsidRDefault="00F50850" w:rsidP="00F50850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RACKHAM, H.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en-GB" w:eastAsia="en-GB"/>
              </w:rPr>
              <w:t xml:space="preserve">Nicomachean Ethics.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Cambridge, MA, Harvard University Press; London, William Heinemann Ltd, 1994.</w:t>
            </w:r>
          </w:p>
          <w:p w14:paraId="5B966840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ROSS, D. W.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The Nicomachean Ethics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. in Barnes, J. (ed.)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The Complete Works of 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. Oxford: Oxford University Press, 2002.</w:t>
            </w:r>
          </w:p>
          <w:p w14:paraId="342A4621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SOLOMON, J.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 xml:space="preserve">Aristotle: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Eudemian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 xml:space="preserve"> Ethics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. In: BARNES, J. (ed.)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The Complete Works of Aristotle, The Revised Oxford Translation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, volume 2, Princeton: Princeton University Press, 1984.</w:t>
            </w:r>
          </w:p>
          <w:p w14:paraId="54D12286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TAYLOR, C. C. W.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Nicomachean Ethics: Books II-IV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Oxford: Clarendon Press, 2006.</w:t>
            </w:r>
          </w:p>
          <w:p w14:paraId="762653E8" w14:textId="77777777" w:rsidR="00F50850" w:rsidRPr="00926F70" w:rsidRDefault="00F50850" w:rsidP="00F50850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VALLANDRO, L. &amp; BORNHEIM, G. </w:t>
            </w:r>
            <w:r w:rsidRPr="00926F70">
              <w:rPr>
                <w:rFonts w:asciiTheme="minorHAnsi" w:hAnsiTheme="minorHAnsi" w:cs="Arial"/>
                <w:i/>
                <w:sz w:val="22"/>
                <w:szCs w:val="22"/>
              </w:rPr>
              <w:t xml:space="preserve">Aristóteles: Ética a </w:t>
            </w:r>
            <w:proofErr w:type="spellStart"/>
            <w:r w:rsidRPr="00926F70">
              <w:rPr>
                <w:rFonts w:asciiTheme="minorHAnsi" w:hAnsiTheme="minorHAnsi" w:cs="Arial"/>
                <w:i/>
                <w:sz w:val="22"/>
                <w:szCs w:val="22"/>
              </w:rPr>
              <w:t>Nicômaco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</w:rPr>
              <w:t>. Coleção ‘Os Pensadores’. São Paulo, Abril Cultural: 1984.</w:t>
            </w:r>
          </w:p>
          <w:p w14:paraId="376DD455" w14:textId="5483BBA2" w:rsidR="00F50850" w:rsidRPr="00926F70" w:rsidRDefault="00F50850" w:rsidP="00F50850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ZINGANO, M. </w:t>
            </w:r>
            <w:proofErr w:type="spellStart"/>
            <w:r w:rsidRPr="00926F70">
              <w:rPr>
                <w:rFonts w:asciiTheme="minorHAnsi" w:hAnsiTheme="minorHAnsi" w:cs="Arial"/>
                <w:i/>
                <w:sz w:val="22"/>
                <w:szCs w:val="22"/>
              </w:rPr>
              <w:t>Ethica</w:t>
            </w:r>
            <w:proofErr w:type="spellEnd"/>
            <w:r w:rsidRPr="00926F70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roofErr w:type="spellStart"/>
            <w:r w:rsidRPr="00926F70">
              <w:rPr>
                <w:rFonts w:asciiTheme="minorHAnsi" w:hAnsiTheme="minorHAnsi" w:cs="Arial"/>
                <w:i/>
                <w:sz w:val="22"/>
                <w:szCs w:val="22"/>
              </w:rPr>
              <w:t>Nicomachea</w:t>
            </w:r>
            <w:proofErr w:type="spellEnd"/>
            <w:r w:rsidRPr="00926F70">
              <w:rPr>
                <w:rFonts w:asciiTheme="minorHAnsi" w:hAnsiTheme="minorHAnsi" w:cs="Arial"/>
                <w:i/>
                <w:sz w:val="22"/>
                <w:szCs w:val="22"/>
              </w:rPr>
              <w:t xml:space="preserve"> I 13 – III 8: Tratado da Virtude Moral</w:t>
            </w:r>
            <w:r w:rsidRPr="00926F70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926F70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São Paulo: Odysseus </w:t>
            </w:r>
            <w:proofErr w:type="spellStart"/>
            <w:r w:rsidRPr="00926F70">
              <w:rPr>
                <w:rFonts w:asciiTheme="minorHAnsi" w:hAnsiTheme="minorHAnsi" w:cs="Arial"/>
                <w:sz w:val="22"/>
                <w:szCs w:val="22"/>
                <w:lang w:val="en-US"/>
              </w:rPr>
              <w:t>Editora</w:t>
            </w:r>
            <w:proofErr w:type="spellEnd"/>
            <w:r w:rsidRPr="00926F70">
              <w:rPr>
                <w:rFonts w:asciiTheme="minorHAnsi" w:hAnsiTheme="minorHAnsi" w:cs="Arial"/>
                <w:sz w:val="22"/>
                <w:szCs w:val="22"/>
                <w:lang w:val="en-US"/>
              </w:rPr>
              <w:t>, 2008.</w:t>
            </w:r>
          </w:p>
          <w:p w14:paraId="1A683BEB" w14:textId="77777777" w:rsidR="00C74ECF" w:rsidRPr="00926F70" w:rsidRDefault="00C74ECF" w:rsidP="00C74ECF">
            <w:pPr>
              <w:spacing w:before="32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proofErr w:type="spellStart"/>
            <w:r w:rsidRPr="00926F70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Complementar</w:t>
            </w:r>
            <w:proofErr w:type="spellEnd"/>
          </w:p>
          <w:p w14:paraId="2BCF5C2C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ACKRILL, J.L. “Aristotle on Eudaimonia” </w:t>
            </w:r>
            <w:r w:rsidRPr="00926F70">
              <w:rPr>
                <w:rFonts w:asciiTheme="minorHAnsi" w:eastAsia="Calibri" w:hAnsiTheme="minorHAnsi" w:cs="Arial"/>
                <w:iCs/>
                <w:sz w:val="22"/>
                <w:szCs w:val="22"/>
                <w:lang w:val="en-GB" w:eastAsia="en-GB"/>
              </w:rPr>
              <w:t>in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en-GB" w:eastAsia="en-GB"/>
              </w:rPr>
              <w:t xml:space="preserve"> Essays on Plato and 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. Oxford: Oxford University Press, 1997.</w:t>
            </w:r>
          </w:p>
          <w:p w14:paraId="4D0FC77F" w14:textId="77777777" w:rsidR="00C74ECF" w:rsidRPr="00926F70" w:rsidRDefault="00C74ECF" w:rsidP="00C74ECF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ACKRILL, J.L. “Aristotle on Action” </w:t>
            </w:r>
            <w:r w:rsidRPr="00926F70">
              <w:rPr>
                <w:rFonts w:asciiTheme="minorHAnsi" w:eastAsia="Calibri" w:hAnsiTheme="minorHAnsi" w:cs="Arial"/>
                <w:iCs/>
                <w:sz w:val="22"/>
                <w:szCs w:val="22"/>
                <w:lang w:val="en-GB" w:eastAsia="en-GB"/>
              </w:rPr>
              <w:t>in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en-GB" w:eastAsia="en-GB"/>
              </w:rPr>
              <w:t xml:space="preserve"> Essays on Plato and 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Oxford: Oxford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University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 Press, 1997</w:t>
            </w:r>
          </w:p>
          <w:p w14:paraId="71651FDC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ANGIONI, L. “Notas sobre a definição de virtude moral em Aristóteles (EN 1106b 36-1107a 2)”, </w:t>
            </w:r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Revista de Filosofia Antiga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, Vol. 3, </w:t>
            </w:r>
            <w:proofErr w:type="spellStart"/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>issue</w:t>
            </w:r>
            <w:proofErr w:type="spellEnd"/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 1, 2009 (link: </w:t>
            </w:r>
            <w:hyperlink r:id="rId7" w:history="1">
              <w:r w:rsidRPr="00926F70">
                <w:rPr>
                  <w:rFonts w:asciiTheme="minorHAnsi" w:eastAsia="Calibri" w:hAnsiTheme="minorHAnsi" w:cs="Arial"/>
                  <w:sz w:val="22"/>
                  <w:szCs w:val="22"/>
                  <w:lang w:eastAsia="en-GB"/>
                </w:rPr>
                <w:t>http://www.filosofiaantiga.com/documents/definicaovirtude.pdf</w:t>
              </w:r>
            </w:hyperlink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>)</w:t>
            </w:r>
          </w:p>
          <w:p w14:paraId="4F843B20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ANGIONI, L. “As relações entre fins e meios e a relevância moral da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phronesis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na ética de Aristóteles”, </w:t>
            </w:r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Revista Filosófica de Coimbra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, vol. 35, 2009, pp. 185-204 (link: </w:t>
            </w:r>
            <w:hyperlink r:id="rId8" w:history="1">
              <w:r w:rsidRPr="00926F70">
                <w:rPr>
                  <w:rFonts w:asciiTheme="minorHAnsi" w:eastAsia="Calibri" w:hAnsiTheme="minorHAnsi" w:cs="Arial"/>
                  <w:sz w:val="22"/>
                  <w:szCs w:val="22"/>
                  <w:lang w:eastAsia="en-GB"/>
                </w:rPr>
                <w:t>http://www.uc.pt/fluc/dfci/publicacoes/as_relacoes_entre_fins_e_meios</w:t>
              </w:r>
            </w:hyperlink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>).</w:t>
            </w:r>
          </w:p>
          <w:p w14:paraId="1EDD0C60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>ANGIONI, L. “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Phronesis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e virtude do caráter em Aristóteles: Comentários a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Etica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a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Nicômaco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VI”,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>Dissertatio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 xml:space="preserve">34, 2011, p. 303-345, disponível on-line em </w:t>
            </w:r>
            <w:hyperlink r:id="rId9" w:history="1">
              <w:r w:rsidRPr="00926F70">
                <w:rPr>
                  <w:rFonts w:asciiTheme="minorHAnsi" w:eastAsia="Calibri" w:hAnsiTheme="minorHAnsi" w:cs="Arial"/>
                  <w:sz w:val="22"/>
                  <w:szCs w:val="22"/>
                  <w:lang w:eastAsia="en-GB"/>
                </w:rPr>
                <w:t>http://www.ufpel.edu.br/isp/dissertatio/revistas/34/13.pdf</w:t>
              </w:r>
            </w:hyperlink>
            <w:r w:rsidRPr="00926F70">
              <w:rPr>
                <w:rFonts w:asciiTheme="minorHAnsi" w:eastAsia="Calibri" w:hAnsiTheme="minorHAnsi" w:cs="Arial"/>
                <w:color w:val="000000"/>
                <w:sz w:val="22"/>
                <w:szCs w:val="22"/>
                <w:lang w:eastAsia="en-GB"/>
              </w:rPr>
              <w:t>.</w:t>
            </w:r>
          </w:p>
          <w:p w14:paraId="213078DF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BURNYEAT, M.F. “Aristotle on Learning to Be Good”, in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Rorty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, A.O. (ed.),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en-GB" w:eastAsia="en-GB"/>
              </w:rPr>
              <w:t>Essays on Aristotle’ s Ethics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. California: University California Press, 1980.</w:t>
            </w:r>
          </w:p>
          <w:p w14:paraId="5B99CD1D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lastRenderedPageBreak/>
              <w:t xml:space="preserve">COOPE, U.  ‘Aristotle’ In: O'Connor, T. &amp;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Sandis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, C. (eds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.). Blackwell Companion to the Philosophy of Action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. Oxford: Blackwell, 2010.</w:t>
            </w:r>
          </w:p>
          <w:p w14:paraId="365EC407" w14:textId="77777777" w:rsidR="00C74ECF" w:rsidRPr="00926F70" w:rsidRDefault="00C74ECF" w:rsidP="00C74ECF">
            <w:pPr>
              <w:spacing w:after="240"/>
              <w:ind w:left="227" w:hanging="227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COOPER, J.M.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val="en-GB" w:eastAsia="en-GB"/>
              </w:rPr>
              <w:t>Reason and Human Good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in 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Indianapolis: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Hackett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Publishing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Company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, 1986.</w:t>
            </w:r>
          </w:p>
          <w:p w14:paraId="6C9308FF" w14:textId="77777777" w:rsidR="00C74ECF" w:rsidRPr="00926F70" w:rsidRDefault="00C74ECF" w:rsidP="00C74ECF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GAZONI, F. M.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eastAsia="en-GB"/>
              </w:rPr>
              <w:t xml:space="preserve">Felicidade controversa - volição, prescrição e lógica na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eastAsia="en-GB"/>
              </w:rPr>
              <w:t>eudaimonia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eastAsia="en-GB"/>
              </w:rPr>
              <w:t xml:space="preserve"> aristotélica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. Tese (Doutorado em Filosofia) - Faculdade de Filosofia, Letras e Ciências Humanas, Universidade de São Paulo, São Paulo, 2012. doi:10.11606/T.8.2012.tde-09112012-120942. </w:t>
            </w:r>
          </w:p>
          <w:p w14:paraId="5FCD1147" w14:textId="77777777" w:rsidR="00C74ECF" w:rsidRPr="00926F70" w:rsidRDefault="00C74ECF" w:rsidP="00C74ECF">
            <w:pPr>
              <w:spacing w:after="240"/>
              <w:ind w:left="227" w:hanging="227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HOBUSS, J.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Eudaimonia e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Auto-suficiência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 em Aristóteles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Pelotas: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Ufpel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, 2002.</w:t>
            </w:r>
          </w:p>
          <w:p w14:paraId="591CA755" w14:textId="77777777" w:rsidR="00C74ECF" w:rsidRPr="00926F70" w:rsidRDefault="00C74ECF" w:rsidP="00C74ECF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IRWIN, T. “Conceptions of Happiness in the Nicomachean Ethics.” In: Shields, C.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The Oxford Handbook of 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. 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Oxford, Oxford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University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 Press, 2012.</w:t>
            </w:r>
          </w:p>
          <w:p w14:paraId="3B4C6037" w14:textId="77777777" w:rsidR="00C74ECF" w:rsidRPr="00926F70" w:rsidRDefault="00C74ECF" w:rsidP="00C74ECF">
            <w:pPr>
              <w:spacing w:after="240"/>
              <w:jc w:val="both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LEAR, J.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Aristóteles: o desejo de entender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, trad. Lygia Watanabe. S. Paulo: Discurso Editorial, 2006.</w:t>
            </w:r>
          </w:p>
          <w:p w14:paraId="7C13ECE0" w14:textId="77777777" w:rsidR="00C74ECF" w:rsidRPr="00926F70" w:rsidRDefault="00C74ECF" w:rsidP="00C74ECF">
            <w:pPr>
              <w:spacing w:after="240"/>
              <w:ind w:left="227" w:hanging="227"/>
              <w:jc w:val="both"/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 xml:space="preserve">SHIELDS, C. </w:t>
            </w:r>
            <w:r w:rsidRPr="00926F70">
              <w:rPr>
                <w:rFonts w:asciiTheme="minorHAnsi" w:eastAsia="Calibri" w:hAnsiTheme="minorHAnsi" w:cs="Arial"/>
                <w:i/>
                <w:sz w:val="22"/>
                <w:szCs w:val="22"/>
                <w:lang w:val="en-GB" w:eastAsia="en-GB"/>
              </w:rPr>
              <w:t>Aristotle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val="en-GB" w:eastAsia="en-GB"/>
              </w:rPr>
              <w:t>. London: Routledge, 2007.</w:t>
            </w:r>
          </w:p>
          <w:p w14:paraId="237357D8" w14:textId="77777777" w:rsidR="00C74ECF" w:rsidRPr="00926F70" w:rsidRDefault="00C74ECF" w:rsidP="00C74ECF">
            <w:pPr>
              <w:spacing w:after="240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SPINELLI, P. T.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A prudência na Ética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Nicomaquéia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 de Aristóteles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. São Leopoldo, Editora </w:t>
            </w:r>
            <w:proofErr w:type="spellStart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Unisinos</w:t>
            </w:r>
            <w:proofErr w:type="spellEnd"/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, 2007.</w:t>
            </w:r>
          </w:p>
          <w:p w14:paraId="1AFDC6B9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ZINGANO, M.A.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Estudos de Ética Antiga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, São Paulo, Discurso Editorial, 2007. </w:t>
            </w:r>
          </w:p>
          <w:p w14:paraId="14BD651A" w14:textId="77777777" w:rsidR="00C74ECF" w:rsidRPr="00926F70" w:rsidRDefault="00C74ECF" w:rsidP="00C74ECF">
            <w:pPr>
              <w:autoSpaceDE w:val="0"/>
              <w:autoSpaceDN w:val="0"/>
              <w:adjustRightInd w:val="0"/>
              <w:spacing w:after="240"/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</w:pP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 xml:space="preserve">ZINGANO, M. A. (ed.) </w:t>
            </w:r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Sobre a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Etica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>Nicomaquéia</w:t>
            </w:r>
            <w:proofErr w:type="spellEnd"/>
            <w:r w:rsidRPr="00926F70">
              <w:rPr>
                <w:rFonts w:asciiTheme="minorHAnsi" w:eastAsia="Calibri" w:hAnsiTheme="minorHAnsi" w:cs="Arial"/>
                <w:i/>
                <w:iCs/>
                <w:sz w:val="22"/>
                <w:szCs w:val="22"/>
                <w:lang w:eastAsia="en-GB"/>
              </w:rPr>
              <w:t xml:space="preserve"> de Aristóteles</w:t>
            </w:r>
            <w:r w:rsidRPr="00926F70">
              <w:rPr>
                <w:rFonts w:asciiTheme="minorHAnsi" w:eastAsia="Calibri" w:hAnsiTheme="minorHAnsi" w:cs="Arial"/>
                <w:sz w:val="22"/>
                <w:szCs w:val="22"/>
                <w:lang w:eastAsia="en-GB"/>
              </w:rPr>
              <w:t>. São Paulo, Odysseus, 2010.</w:t>
            </w:r>
          </w:p>
          <w:p w14:paraId="5CC205E0" w14:textId="40DC4B45" w:rsidR="00C74ECF" w:rsidRPr="00926F70" w:rsidRDefault="00C74ECF" w:rsidP="00C74ECF">
            <w:pPr>
              <w:spacing w:after="240"/>
              <w:jc w:val="both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26F70">
              <w:rPr>
                <w:rFonts w:asciiTheme="minorHAnsi" w:eastAsia="Calibri" w:hAnsiTheme="minorHAnsi" w:cs="Arial"/>
                <w:iCs/>
                <w:sz w:val="22"/>
                <w:szCs w:val="22"/>
                <w:lang w:eastAsia="en-GB"/>
              </w:rPr>
              <w:t>Outras referências bibliográficas serão indicadas oportunamente.</w:t>
            </w:r>
          </w:p>
          <w:p w14:paraId="0F5B3F04" w14:textId="12BC5522" w:rsidR="0062595D" w:rsidRPr="00926F70" w:rsidRDefault="0062595D" w:rsidP="00F508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left" w:pos="1365"/>
              </w:tabs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62595D" w:rsidRPr="00926F70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Docentes participantes</w:t>
            </w:r>
            <w:r w:rsidRPr="00926F70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926F70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Carga Horária</w:t>
            </w:r>
          </w:p>
        </w:tc>
      </w:tr>
      <w:tr w:rsidR="0062595D" w:rsidRPr="00926F70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6E9970A5" w:rsidR="0062595D" w:rsidRPr="00926F70" w:rsidRDefault="00074B0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 xml:space="preserve">Breno </w:t>
            </w:r>
            <w:proofErr w:type="spellStart"/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Zuppolini</w:t>
            </w:r>
            <w:proofErr w:type="spellEnd"/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Doutorado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926F70" w:rsidRDefault="00304B14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926F70" w:rsidRDefault="009A035B" w:rsidP="00926F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0h</w:t>
            </w:r>
          </w:p>
        </w:tc>
      </w:tr>
    </w:tbl>
    <w:p w14:paraId="118155C0" w14:textId="77777777" w:rsidR="009A035B" w:rsidRPr="00926F70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2"/>
          <w:szCs w:val="22"/>
        </w:rPr>
      </w:pPr>
    </w:p>
    <w:p w14:paraId="294F86D4" w14:textId="77777777" w:rsidR="00EA4ED9" w:rsidRPr="00926F70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2"/>
          <w:szCs w:val="22"/>
        </w:rPr>
      </w:pPr>
    </w:p>
    <w:p w14:paraId="5871FA08" w14:textId="2A4EBA58" w:rsidR="0062595D" w:rsidRPr="00926F70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2"/>
          <w:szCs w:val="22"/>
        </w:rPr>
      </w:pPr>
      <w:r w:rsidRPr="00926F70">
        <w:rPr>
          <w:rFonts w:asciiTheme="minorHAnsi" w:eastAsia="Calibri" w:hAnsiTheme="minorHAnsi" w:cs="Calibri"/>
          <w:b/>
          <w:color w:val="C00000"/>
          <w:sz w:val="22"/>
          <w:szCs w:val="22"/>
        </w:rPr>
        <w:t>Cronograma das ATIVIDADES DOMICILIARES ESPECIAIS</w:t>
      </w:r>
    </w:p>
    <w:p w14:paraId="2791DDD9" w14:textId="77777777" w:rsidR="0062595D" w:rsidRPr="00926F70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2"/>
          <w:szCs w:val="22"/>
        </w:rPr>
      </w:pPr>
      <w:r w:rsidRPr="00926F70">
        <w:rPr>
          <w:rFonts w:asciiTheme="minorHAnsi" w:eastAsia="Calibri" w:hAnsiTheme="minorHAnsi" w:cs="Calibri"/>
          <w:b/>
          <w:color w:val="000000"/>
          <w:sz w:val="22"/>
          <w:szCs w:val="22"/>
        </w:rPr>
        <w:t>De 03 de agosto a 19 de outubro de 2020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926F70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Semanas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Horas /semana</w:t>
            </w:r>
          </w:p>
        </w:tc>
      </w:tr>
      <w:tr w:rsidR="0062595D" w:rsidRPr="00926F70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663D" w14:textId="2F5E1465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03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D2EB4A" w14:textId="328EDD45" w:rsidR="00E74B94" w:rsidRPr="00926F70" w:rsidRDefault="0056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3FE9" w14:textId="0908F06D" w:rsidR="0062595D" w:rsidRPr="00926F70" w:rsidRDefault="00F059B0" w:rsidP="0056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16C662FD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10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A050F2" w14:textId="117848FF" w:rsidR="0062595D" w:rsidRPr="00926F70" w:rsidRDefault="00B2512D" w:rsidP="00B25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06B8CD79" w:rsidR="0062595D" w:rsidRPr="00926F70" w:rsidRDefault="00F0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19BA6FCA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17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FD49A" w14:textId="2DCB7EA1" w:rsidR="00567EB2" w:rsidRPr="00926F70" w:rsidRDefault="00567EB2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FC94" w14:textId="32160D5C" w:rsidR="0062595D" w:rsidRPr="00926F70" w:rsidRDefault="00F0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0391E13A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24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7D441" w14:textId="72C5A2CE" w:rsidR="0062595D" w:rsidRPr="00926F70" w:rsidRDefault="00567EB2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695D6" w14:textId="349D567F" w:rsidR="0062595D" w:rsidRPr="00926F70" w:rsidRDefault="00F0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5B97A558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31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5CBBA" w14:textId="23039B25" w:rsidR="0062595D" w:rsidRPr="00926F70" w:rsidRDefault="00567EB2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7569" w14:textId="53504A33" w:rsidR="0062595D" w:rsidRPr="00926F70" w:rsidRDefault="00F0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6780E60B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lastRenderedPageBreak/>
              <w:t>14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0872" w14:textId="5C6399E7" w:rsidR="0062595D" w:rsidRPr="00926F70" w:rsidRDefault="00567EB2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65D" w14:textId="626E4D82" w:rsidR="0062595D" w:rsidRPr="00926F70" w:rsidRDefault="00F059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5E8" w14:textId="726EA2F0" w:rsidR="0062595D" w:rsidRPr="00926F70" w:rsidRDefault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21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9E84" w14:textId="74142D59" w:rsidR="0062595D" w:rsidRPr="00926F70" w:rsidRDefault="00567EB2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61009" w14:textId="4150A921" w:rsidR="0062595D" w:rsidRPr="00926F70" w:rsidRDefault="00CE7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304B14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595D" w:rsidRPr="00926F70" w14:paraId="0BE04C10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0A3D" w14:textId="0D68F813" w:rsidR="0062595D" w:rsidRPr="00926F70" w:rsidRDefault="0062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28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</w:t>
            </w: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FE304" w14:textId="7761B9B4" w:rsidR="0062595D" w:rsidRPr="00926F70" w:rsidRDefault="0056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4FFA6" w14:textId="70FBC483" w:rsidR="0062595D" w:rsidRPr="00926F70" w:rsidRDefault="00F059B0" w:rsidP="00567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DF26E7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620230" w:rsidRPr="00926F70" w14:paraId="1A2EB88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5BFBC" w14:textId="0D823C69" w:rsidR="00620230" w:rsidRPr="00926F70" w:rsidRDefault="0062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05/10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95E0C" w14:textId="7B1E3376" w:rsidR="00620230" w:rsidRPr="00926F70" w:rsidRDefault="00567EB2" w:rsidP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C888" w14:textId="0820C865" w:rsidR="00620230" w:rsidRPr="00926F70" w:rsidRDefault="00F059B0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4h</w:t>
            </w:r>
          </w:p>
        </w:tc>
      </w:tr>
      <w:tr w:rsidR="0062595D" w:rsidRPr="00926F70" w14:paraId="5FDA6CC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39A" w14:textId="1EAB242A" w:rsidR="0062595D" w:rsidRPr="00926F70" w:rsidRDefault="00620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19</w:t>
            </w:r>
            <w:r w:rsidR="00304B14"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/10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B0DA" w14:textId="50A9267C" w:rsidR="0062595D" w:rsidRPr="00926F70" w:rsidRDefault="00567EB2" w:rsidP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Leitura e análise de texto, escrutínio de teses e argumentos e discussão conjunta das alternativas de interpretação.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17" w14:textId="1D69B439" w:rsidR="0062595D" w:rsidRPr="00926F70" w:rsidRDefault="00F059B0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4</w:t>
            </w:r>
            <w:r w:rsidR="00BA0A11" w:rsidRPr="00926F70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h</w:t>
            </w:r>
          </w:p>
        </w:tc>
      </w:tr>
      <w:tr w:rsidR="00F9663E" w:rsidRPr="00926F70" w14:paraId="362D4AF3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648B2" w14:textId="2FE1D0FA" w:rsidR="00F9663E" w:rsidRPr="00926F70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Avaliação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FB8B2" w14:textId="2E9DA154" w:rsidR="00F9663E" w:rsidRPr="00926F70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  <w:t>1</w:t>
            </w:r>
            <w:r w:rsidR="00E74B94" w:rsidRPr="00926F70"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  <w:t>2</w:t>
            </w:r>
          </w:p>
        </w:tc>
      </w:tr>
      <w:tr w:rsidR="0062595D" w:rsidRPr="00926F70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58D3047A" w:rsidR="0062595D" w:rsidRPr="00926F70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iCs/>
                <w:color w:val="404040"/>
                <w:sz w:val="22"/>
                <w:szCs w:val="22"/>
              </w:rPr>
              <w:t>52</w:t>
            </w:r>
          </w:p>
        </w:tc>
      </w:tr>
      <w:tr w:rsidR="0062595D" w:rsidRPr="00926F70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77777777" w:rsidR="0062595D" w:rsidRPr="00926F70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926F70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19/10/2020 - Prazo final para preenchimento da pasta verde.</w:t>
            </w:r>
          </w:p>
        </w:tc>
      </w:tr>
    </w:tbl>
    <w:p w14:paraId="55C986CE" w14:textId="07302FB1" w:rsidR="0062595D" w:rsidRPr="00926F70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  <w:sz w:val="22"/>
          <w:szCs w:val="22"/>
        </w:rPr>
      </w:pPr>
    </w:p>
    <w:sectPr w:rsidR="0062595D" w:rsidRPr="00926F7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60930" w14:textId="77777777" w:rsidR="00BF5865" w:rsidRDefault="00BF5865">
      <w:r>
        <w:separator/>
      </w:r>
    </w:p>
  </w:endnote>
  <w:endnote w:type="continuationSeparator" w:id="0">
    <w:p w14:paraId="6CE7FB94" w14:textId="77777777" w:rsidR="00BF5865" w:rsidRDefault="00BF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B5A90" w14:textId="77777777" w:rsidR="00BF5865" w:rsidRDefault="00BF5865">
      <w:r>
        <w:separator/>
      </w:r>
    </w:p>
  </w:footnote>
  <w:footnote w:type="continuationSeparator" w:id="0">
    <w:p w14:paraId="02F205A2" w14:textId="77777777" w:rsidR="00BF5865" w:rsidRDefault="00BF5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62595D" w:rsidRDefault="00304B14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62595D" w:rsidRDefault="00304B14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62595D" w:rsidRDefault="00304B14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62595D" w:rsidRDefault="0062595D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7FD7CE2"/>
    <w:multiLevelType w:val="hybridMultilevel"/>
    <w:tmpl w:val="AEA20778"/>
    <w:lvl w:ilvl="0" w:tplc="5E9C2542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95D"/>
    <w:rsid w:val="0006069D"/>
    <w:rsid w:val="000701AE"/>
    <w:rsid w:val="00074B04"/>
    <w:rsid w:val="000D232B"/>
    <w:rsid w:val="00112302"/>
    <w:rsid w:val="001D4255"/>
    <w:rsid w:val="002351D8"/>
    <w:rsid w:val="002603F5"/>
    <w:rsid w:val="00286122"/>
    <w:rsid w:val="00304B14"/>
    <w:rsid w:val="003E5D22"/>
    <w:rsid w:val="004611CE"/>
    <w:rsid w:val="00486896"/>
    <w:rsid w:val="004F2E1F"/>
    <w:rsid w:val="005123E7"/>
    <w:rsid w:val="005218D5"/>
    <w:rsid w:val="0055313F"/>
    <w:rsid w:val="00567EB2"/>
    <w:rsid w:val="00587F16"/>
    <w:rsid w:val="005904EB"/>
    <w:rsid w:val="005A53B7"/>
    <w:rsid w:val="005A68F0"/>
    <w:rsid w:val="005C47D5"/>
    <w:rsid w:val="006041AA"/>
    <w:rsid w:val="00620230"/>
    <w:rsid w:val="0062595D"/>
    <w:rsid w:val="00694D04"/>
    <w:rsid w:val="00720C03"/>
    <w:rsid w:val="007B17D1"/>
    <w:rsid w:val="008661CC"/>
    <w:rsid w:val="00873FCA"/>
    <w:rsid w:val="009053A4"/>
    <w:rsid w:val="00926F70"/>
    <w:rsid w:val="00995D53"/>
    <w:rsid w:val="009A035B"/>
    <w:rsid w:val="009F52E0"/>
    <w:rsid w:val="00A359E9"/>
    <w:rsid w:val="00B2512D"/>
    <w:rsid w:val="00B77CEA"/>
    <w:rsid w:val="00BA0A11"/>
    <w:rsid w:val="00BB02BE"/>
    <w:rsid w:val="00BC1F8F"/>
    <w:rsid w:val="00BF5865"/>
    <w:rsid w:val="00C07B94"/>
    <w:rsid w:val="00C13081"/>
    <w:rsid w:val="00C74ECF"/>
    <w:rsid w:val="00C80588"/>
    <w:rsid w:val="00C87596"/>
    <w:rsid w:val="00CE7A24"/>
    <w:rsid w:val="00DA64FA"/>
    <w:rsid w:val="00DF26E7"/>
    <w:rsid w:val="00E16360"/>
    <w:rsid w:val="00E172CF"/>
    <w:rsid w:val="00E408E7"/>
    <w:rsid w:val="00E40BEB"/>
    <w:rsid w:val="00E74B94"/>
    <w:rsid w:val="00E82E5B"/>
    <w:rsid w:val="00EA4ED9"/>
    <w:rsid w:val="00EB23E9"/>
    <w:rsid w:val="00ED37C9"/>
    <w:rsid w:val="00F043AB"/>
    <w:rsid w:val="00F059B0"/>
    <w:rsid w:val="00F50850"/>
    <w:rsid w:val="00F9663E"/>
    <w:rsid w:val="00FB75AC"/>
    <w:rsid w:val="00FD2C4B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5E9093F9-6B23-4DEC-8BBC-D65A1FA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FE06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noProof/>
      <w:sz w:val="24"/>
      <w:szCs w:val="24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E067C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.pt/fluc/dfci/publicacoes/as_relacoes_entre_fins_e_meio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ilosofiaantiga.com/documents/definicaovirtude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fpel.edu.br/isp/dissertatio/revistas/34/13.pdf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2020-07-05T22:49:00Z</dcterms:created>
  <dcterms:modified xsi:type="dcterms:W3CDTF">2020-07-10T15:25:00Z</dcterms:modified>
</cp:coreProperties>
</file>