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83200AF" w14:textId="2752F142" w:rsidR="009332FA" w:rsidRDefault="008F5379" w:rsidP="0086253F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73C60674" w:rsidR="0086253F" w:rsidRPr="0086253F" w:rsidRDefault="0086253F" w:rsidP="008625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Introdução aos Estudos e Práticas Acadêmicas II</w:t>
            </w:r>
            <w:r w:rsidR="00AC2010">
              <w:rPr>
                <w:rFonts w:ascii="Times New Roman" w:hAnsi="Times New Roman" w:cs="Times New Roman"/>
              </w:rPr>
              <w:t xml:space="preserve"> – Turma B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43D85D33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86253F">
              <w:t xml:space="preserve"> 90 horas (73 horas teóricas/ 17 horas práticas)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FAAC840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 xml:space="preserve">Professor(a) </w:t>
            </w:r>
            <w:r w:rsidR="0086253F">
              <w:rPr>
                <w:rFonts w:ascii="Times New Roman" w:hAnsi="Times New Roman" w:cs="Times New Roman"/>
              </w:rPr>
              <w:t>Responsável: ANDRÉ MEDINA CARONE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5CF3B30" w:rsidR="008F5379" w:rsidRPr="00A04FC0" w:rsidRDefault="008F5379" w:rsidP="0086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6253F" w:rsidRPr="002D3EC7">
              <w:rPr>
                <w:rFonts w:ascii="Times New Roman" w:hAnsi="Times New Roman" w:cs="Times New Roman"/>
                <w:b w:val="0"/>
              </w:rPr>
              <w:t>andre.carone@unifesp.br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72DD7291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8625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79ADCB31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86253F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7859A98A" w14:textId="7FBDD004" w:rsidR="008F5379" w:rsidRPr="002D3EC7" w:rsidRDefault="0086253F" w:rsidP="008F537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O curso irá realizar uma leitura minuciosa da primeira edição de "A psicopatologia da vida cotidiana" (1901) com o objetivo de explicitar e compreender a teoria freudiana a respeito dos lapsos e dos atos falhos e indicar de que maneira ela se articula com as teorias psicanalíticas a respeito da neurose e do sonho.  </w:t>
            </w:r>
          </w:p>
          <w:p w14:paraId="42E5BDC5" w14:textId="77777777" w:rsidR="0086253F" w:rsidRPr="00A04FC0" w:rsidRDefault="0086253F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4975FC92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72751399" w:rsidR="0086253F" w:rsidRPr="0086253F" w:rsidRDefault="0086253F" w:rsidP="002D3EC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A leitura de "A psicopatologia da vida cotidiana", acompanhada por debates e discussões em sala</w:t>
            </w:r>
            <w:r w:rsid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,</w:t>
            </w: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 irá assinalar em primeiro lugar a aproximação entre os domínios do </w:t>
            </w:r>
            <w:r w:rsidRPr="002D3EC7">
              <w:rPr>
                <w:rFonts w:ascii="Times New Roman" w:eastAsia="Arial" w:hAnsi="Times New Roman" w:cs="Times New Roman"/>
                <w:b w:val="0"/>
                <w:i/>
                <w:sz w:val="20"/>
                <w:szCs w:val="20"/>
              </w:rPr>
              <w:t>normal</w:t>
            </w: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 e do </w:t>
            </w:r>
            <w:r w:rsidRPr="002D3EC7">
              <w:rPr>
                <w:rFonts w:ascii="Times New Roman" w:eastAsia="Arial" w:hAnsi="Times New Roman" w:cs="Times New Roman"/>
                <w:b w:val="0"/>
                <w:i/>
                <w:sz w:val="20"/>
                <w:szCs w:val="20"/>
              </w:rPr>
              <w:t>patológico</w:t>
            </w:r>
            <w:r w:rsidR="002D3EC7">
              <w:rPr>
                <w:rFonts w:ascii="Times New Roman" w:eastAsia="Arial" w:hAnsi="Times New Roman" w:cs="Times New Roman"/>
                <w:b w:val="0"/>
                <w:i/>
                <w:sz w:val="20"/>
                <w:szCs w:val="20"/>
              </w:rPr>
              <w:t>.</w:t>
            </w:r>
            <w:r w:rsid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 O</w:t>
            </w: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s objetos </w:t>
            </w:r>
            <w:r w:rsid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aqui investigados </w:t>
            </w: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 xml:space="preserve">não são os desvios da norma e nem as aberrações flagrantes das doenças psíquicas. Na verdade, Freud volta a sua atenção para os desvios sutis que encontramos no campo da nossa </w:t>
            </w:r>
            <w:r w:rsidRPr="002D3EC7">
              <w:rPr>
                <w:rFonts w:ascii="Times New Roman" w:eastAsia="Arial" w:hAnsi="Times New Roman" w:cs="Times New Roman"/>
                <w:b w:val="0"/>
                <w:i/>
                <w:sz w:val="20"/>
                <w:szCs w:val="20"/>
              </w:rPr>
              <w:t>vida cotidiana</w:t>
            </w: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, como os lapsos, esquecimentos, trocas de palavras, equívocos de recordação etc., e assinala o que existe de comum entre esse conjunto de fenômenos e as manifestações que estão presentes na neurose, na histeria ou na paranoia: ele mostra, em resumo, que a psicologia da vida normal está muito próxima da psicopatologia. Essa proximidade é o elemento fundamental que garante o caráter universal de suas teses sobre o inconsciente psíquico.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455CC394" w:rsidR="008F5379" w:rsidRPr="00A04FC0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86253F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O propósito do curso é oferecer aos alunos (prioritariamente aos ingressantes) os meios e os instrumentos de transição e adaptação ao curso de filosofia e à vida universitária, com ênfase na iniciação a práticas de leitura e escrita de textos filosóficos.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65AD926F" w14:textId="77777777" w:rsidR="0086253F" w:rsidRPr="002D3EC7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1) A explicação fisiológica do lapso como falha da consciência ou desvio momentâneo da atenção.</w:t>
            </w:r>
          </w:p>
          <w:p w14:paraId="4ED7AB1A" w14:textId="77777777" w:rsidR="0086253F" w:rsidRPr="002D3EC7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2) O esquecimento, a falsa lembrança e o mecanismo do recalque: as armadilhas e os enganos da memória.</w:t>
            </w:r>
          </w:p>
          <w:p w14:paraId="42CBEB2C" w14:textId="77777777" w:rsidR="0086253F" w:rsidRPr="002D3EC7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3) A associação livre e o trabalho de interpretação dos lapsos e dos sonhos.</w:t>
            </w:r>
          </w:p>
          <w:p w14:paraId="2409D1F3" w14:textId="77777777" w:rsidR="0086253F" w:rsidRPr="002D3EC7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4) Lapsos e sonhos como modelos para a compreensão das neuroses.</w:t>
            </w:r>
          </w:p>
          <w:p w14:paraId="4B5E144A" w14:textId="27C81E63" w:rsidR="0086253F" w:rsidRPr="002D3EC7" w:rsidRDefault="0086253F" w:rsidP="0086253F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  <w:t>5) Determinismo científico, vida inconsciente e a crítica psicanalítica da superstição.</w:t>
            </w:r>
          </w:p>
          <w:p w14:paraId="41EF3EE4" w14:textId="25D77834" w:rsidR="003372C2" w:rsidRPr="00A04FC0" w:rsidRDefault="003372C2" w:rsidP="00CA055A">
            <w:pPr>
              <w:rPr>
                <w:rFonts w:ascii="Times New Roman" w:hAnsi="Times New Roman" w:cs="Times New Roman"/>
              </w:rPr>
            </w:pPr>
          </w:p>
          <w:p w14:paraId="68CE6867" w14:textId="4B70D02D" w:rsidR="00D21668" w:rsidRPr="00A04FC0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2D3EC7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Atividades Síncronas</w:t>
            </w:r>
            <w:r w:rsidR="00EB0F45" w:rsidRPr="002D3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761420D" w14:textId="3E4851A2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•  Aulas online interativas pelo Google meet</w:t>
            </w:r>
          </w:p>
          <w:p w14:paraId="792FD223" w14:textId="77709003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•  Leitura dos textos com atividades orientadas, pelo Google Meet</w:t>
            </w:r>
          </w:p>
          <w:p w14:paraId="3A9D6FF7" w14:textId="3451ACF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•  Debate sobre os temas com os alunos pelo Google Classroom e Google Meet.</w:t>
            </w:r>
          </w:p>
          <w:p w14:paraId="76F9AEAA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44DD3C42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• Atividades Assíncronas:</w:t>
            </w:r>
          </w:p>
          <w:p w14:paraId="765D8E88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• Acompanhamento das aulas gravadas, elaboração de esboços, planejamentos e versões </w:t>
            </w:r>
          </w:p>
          <w:p w14:paraId="7E320072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preparatórias do trabalho final da disciplina.</w:t>
            </w:r>
          </w:p>
          <w:p w14:paraId="63AEA6F8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81E28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• Disponibilização de Material:</w:t>
            </w:r>
          </w:p>
          <w:p w14:paraId="6CB9D166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Toda a bibliografia será disponbilizada via e-mail institucional (Pasta Verde) e Plataforma Moodle </w:t>
            </w:r>
          </w:p>
          <w:p w14:paraId="2FA33356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em formato digital (Arquivos PDF).</w:t>
            </w:r>
          </w:p>
          <w:p w14:paraId="128B613F" w14:textId="22F538B2" w:rsidR="00261EB7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sz w:val="20"/>
                <w:szCs w:val="20"/>
              </w:rPr>
              <w:t>Horários dos encontros síncronos: Vespertino (14h às 17h) e Noturno (19h às 22h), às segundas-feiras.</w:t>
            </w:r>
          </w:p>
          <w:p w14:paraId="2C7634F6" w14:textId="77777777" w:rsidR="00161219" w:rsidRPr="002D3EC7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14:paraId="10AC7CE9" w14:textId="77777777" w:rsidR="00EB0F45" w:rsidRPr="00A04FC0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EC7" w:rsidRPr="002D3EC7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2D3EC7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56665A" w:rsidRPr="002D3EC7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Avaliação:</w:t>
            </w:r>
            <w:r w:rsidR="00625CD1" w:rsidRPr="002D3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8B0881" w14:textId="77777777" w:rsidR="003D7D73" w:rsidRPr="002D3EC7" w:rsidRDefault="008C7160" w:rsidP="00261EB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D7D73" w:rsidRPr="002D3EC7">
              <w:rPr>
                <w:rFonts w:ascii="Times New Roman" w:hAnsi="Times New Roman" w:cs="Times New Roman"/>
                <w:sz w:val="20"/>
                <w:szCs w:val="20"/>
              </w:rPr>
              <w:t>onceito final da unidade curricular</w:t>
            </w: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D7D73" w:rsidRPr="002D3EC7">
              <w:rPr>
                <w:rFonts w:ascii="Times New Roman" w:hAnsi="Times New Roman" w:cs="Times New Roman"/>
                <w:sz w:val="20"/>
                <w:szCs w:val="20"/>
              </w:rPr>
              <w:t xml:space="preserve"> “cumprido/não cumprido”</w:t>
            </w:r>
          </w:p>
          <w:p w14:paraId="5E12AA18" w14:textId="77777777" w:rsidR="00261EB7" w:rsidRPr="002D3EC7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14:paraId="70713022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  <w:p w14:paraId="41506EDB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Elaboração de um trabalho escrito em quatro etapas distintas, sob supervisão e acompanhamento do </w:t>
            </w:r>
          </w:p>
          <w:p w14:paraId="45B98D9E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docente:</w:t>
            </w:r>
          </w:p>
          <w:p w14:paraId="7A7AB9DE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a) escolha do tema e primeiras anotações</w:t>
            </w:r>
          </w:p>
          <w:p w14:paraId="513960D3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b) esboço e planejamento</w:t>
            </w:r>
          </w:p>
          <w:p w14:paraId="21445D24" w14:textId="77777777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c) primeira versão</w:t>
            </w:r>
          </w:p>
          <w:p w14:paraId="3C654C88" w14:textId="56B5E36D" w:rsidR="0086253F" w:rsidRPr="002D3EC7" w:rsidRDefault="0086253F" w:rsidP="0086253F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d) versão corrigida</w:t>
            </w:r>
          </w:p>
          <w:p w14:paraId="7B181DBA" w14:textId="51C5A9F6" w:rsidR="004905F2" w:rsidRPr="002D3EC7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2D3EC7" w:rsidRPr="002D3EC7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F3AA6B3" w14:textId="1F10B24D" w:rsidR="00625CD1" w:rsidRPr="002D3EC7" w:rsidRDefault="0056665A" w:rsidP="00D66E34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Bibliografia</w:t>
            </w:r>
            <w:r w:rsidRPr="002D3EC7">
              <w:rPr>
                <w:rFonts w:ascii="Times New Roman" w:hAnsi="Times New Roman" w:cs="Times New Roman"/>
                <w:b w:val="0"/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7A28CF0E" w14:textId="6A756DF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(Observação: a bibliografia será disponibilizada integralmente em versão digital antes do início das </w:t>
            </w:r>
          </w:p>
          <w:p w14:paraId="0A9C4DDE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atividades do semestre letivo).</w:t>
            </w:r>
          </w:p>
          <w:p w14:paraId="2963E1D7" w14:textId="360883E8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Bibliografia Básica </w:t>
            </w:r>
          </w:p>
          <w:p w14:paraId="561207EF" w14:textId="09991373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FREUD, S. "Conferências introdutórias à psicanálise" (1917), São Paulo, Companhia das Letras, 2014 (Tradução de Sérgio Tellaroli).</w:t>
            </w:r>
          </w:p>
          <w:p w14:paraId="0118A5D8" w14:textId="6D594E24" w:rsidR="009B4281" w:rsidRPr="002D3EC7" w:rsidRDefault="009B4281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FREUD, S. “Sobre o sonho e Psicopatologia da Vida Cotidiana” (1901), São Paulo, Companhia das Letras, 2021 (Tradução de Paulo César de Souza).</w:t>
            </w:r>
          </w:p>
          <w:p w14:paraId="547EC89B" w14:textId="10D1E38E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lastRenderedPageBreak/>
              <w:t>FREUD, S. "</w:t>
            </w:r>
            <w:r w:rsidR="009B4281"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Sobre Lembranças Encobridoras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" (1</w:t>
            </w:r>
            <w:r w:rsidR="009B4281"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899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), em Cadernos de Tradução LE</w:t>
            </w:r>
            <w:r w:rsidR="009B4281"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LPraT, vol. 2, junho 2021, p. 31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-</w:t>
            </w:r>
            <w:r w:rsidR="009B4281"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51.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 (Tradução, apresentação e notas de André Carone)</w:t>
            </w:r>
          </w:p>
          <w:p w14:paraId="7FB939B0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</w:p>
          <w:p w14:paraId="1EE2C511" w14:textId="7FE7100B" w:rsidR="0086253F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Bibliografia Complementar</w:t>
            </w:r>
          </w:p>
          <w:p w14:paraId="3FFEC655" w14:textId="53F3DC73" w:rsidR="002D3EC7" w:rsidRPr="002D3EC7" w:rsidRDefault="002D3EC7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CANGUILHEM, G. O normal e o patológico. Rio de Janeiro, Forense Universitária, 2011. (Tradução de 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Maria Thereza Redig de Carvalho Barrocas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)</w:t>
            </w:r>
          </w:p>
          <w:p w14:paraId="7763E078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GARCIA-ROZA, L. A. Freud e o inconsciente, Rio de Janeiro, Jorge Zahar Editor, 1984.</w:t>
            </w:r>
          </w:p>
          <w:p w14:paraId="4DA750A2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GAY, P. "Sigmund Freud: um alemão e seus dissabores", em Sigmund Freud &amp; O Gabinete do Dr. </w:t>
            </w:r>
          </w:p>
          <w:p w14:paraId="26CD2634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Lacan, SOUZA, P. C (org), São Paulo, Editora Brasiliense, 1989, p. 1-73 (Tradução de Isa Mara Lando </w:t>
            </w:r>
          </w:p>
          <w:p w14:paraId="273F5A15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e Paulo César de Souza).</w:t>
            </w:r>
          </w:p>
          <w:p w14:paraId="446F8C27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MEZAN, Renato. Freud: a conquista do proibido. São Paulo, Ateliê Editorial, 2000.</w:t>
            </w:r>
          </w:p>
          <w:p w14:paraId="06609AAC" w14:textId="77777777" w:rsidR="0086253F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MEZAN, Renato. “Freud e a psicanálise: ‘um trabalho de civilização’, em Pensamento alemão no </w:t>
            </w:r>
          </w:p>
          <w:p w14:paraId="7EA835F9" w14:textId="431A7E8B" w:rsidR="003372C2" w:rsidRPr="002D3EC7" w:rsidRDefault="0086253F" w:rsidP="00862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>século XX, São Paulo, Cosacnaify, 2009, pp. 41-65.</w:t>
            </w:r>
          </w:p>
          <w:p w14:paraId="07069DDB" w14:textId="4DB62780" w:rsidR="0086253F" w:rsidRPr="002D3EC7" w:rsidRDefault="009B4281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  <w:t xml:space="preserve">ROBERT, M. </w:t>
            </w:r>
            <w:r w:rsidRPr="002D3EC7">
              <w:rPr>
                <w:rFonts w:ascii="Times New Roman" w:hAnsi="Times New Roman" w:cs="Times New Roman"/>
                <w:b w:val="0"/>
                <w:bCs/>
                <w:iCs/>
                <w:sz w:val="20"/>
                <w:szCs w:val="20"/>
              </w:rPr>
              <w:t xml:space="preserve">A revolução psicanalítica. São Paulo, Editora Perspectiva, 1991 (Tradução de Attilio Cancian) </w:t>
            </w:r>
          </w:p>
          <w:p w14:paraId="69B28B85" w14:textId="019F5FBC" w:rsidR="008A4B9F" w:rsidRPr="002D3EC7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  <w:p w14:paraId="5A2870C8" w14:textId="5C7B9F6B" w:rsidR="008A4B9F" w:rsidRPr="002D3EC7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  <w:p w14:paraId="0D9FAD5B" w14:textId="41CA3B99" w:rsidR="008A4B9F" w:rsidRPr="002D3EC7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sz w:val="20"/>
                <w:szCs w:val="20"/>
              </w:rPr>
            </w:pPr>
          </w:p>
          <w:p w14:paraId="540E01D9" w14:textId="714560D8" w:rsidR="0057043E" w:rsidRPr="002D3EC7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2D3EC7" w:rsidRPr="002D3EC7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2D3EC7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lastRenderedPageBreak/>
              <w:t>Docentes participantes</w:t>
            </w:r>
          </w:p>
        </w:tc>
      </w:tr>
      <w:tr w:rsidR="002D3EC7" w:rsidRPr="002D3EC7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2D3EC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2D3EC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2D3EC7" w:rsidRPr="002D3EC7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70FF4A4" w:rsidR="00A46BD6" w:rsidRPr="002D3EC7" w:rsidRDefault="00545A6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ANDRÉ MEDINA CARONE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2D3EC7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F8D1719" w:rsidR="00A46BD6" w:rsidRPr="002D3EC7" w:rsidRDefault="00545A6E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Professor Doutor (Adjunto I)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2D3EC7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2D3EC7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2D3EC7" w:rsidRPr="002D3EC7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2D3EC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2D3EC7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2D3EC7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4272FBF" w14:textId="77777777" w:rsidR="000C14BA" w:rsidRPr="002D3EC7" w:rsidRDefault="000C14BA" w:rsidP="00A648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ACDCFF" w14:textId="77777777" w:rsidR="002D3EC7" w:rsidRPr="002D3EC7" w:rsidRDefault="002D3EC7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2D3EC7">
        <w:rPr>
          <w:rFonts w:ascii="Times New Roman" w:hAnsi="Times New Roman" w:cs="Times New Roman"/>
          <w:sz w:val="20"/>
          <w:szCs w:val="20"/>
        </w:rPr>
        <w:br w:type="page"/>
      </w:r>
    </w:p>
    <w:p w14:paraId="6622D7BF" w14:textId="691C3F14" w:rsidR="00A648B6" w:rsidRPr="002D3EC7" w:rsidRDefault="00A648B6" w:rsidP="00A648B6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EC7">
        <w:rPr>
          <w:rFonts w:ascii="Times New Roman" w:hAnsi="Times New Roman" w:cs="Times New Roman"/>
          <w:sz w:val="20"/>
          <w:szCs w:val="20"/>
        </w:rPr>
        <w:lastRenderedPageBreak/>
        <w:t>Cronograma</w:t>
      </w:r>
    </w:p>
    <w:p w14:paraId="3B9D657F" w14:textId="0F1CAC4C" w:rsidR="0056663E" w:rsidRPr="002D3EC7" w:rsidRDefault="0056663E" w:rsidP="00A648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ED81B7" w14:textId="082FEFD7" w:rsidR="00B67965" w:rsidRPr="002D3EC7" w:rsidRDefault="008350DD" w:rsidP="00717F4C">
      <w:pPr>
        <w:jc w:val="center"/>
        <w:rPr>
          <w:rFonts w:ascii="Times New Roman" w:hAnsi="Times New Roman" w:cs="Times New Roman"/>
          <w:sz w:val="20"/>
          <w:szCs w:val="20"/>
        </w:rPr>
      </w:pPr>
      <w:r w:rsidRPr="002D3EC7">
        <w:rPr>
          <w:rFonts w:ascii="Times New Roman" w:hAnsi="Times New Roman" w:cs="Times New Roman"/>
          <w:sz w:val="20"/>
          <w:szCs w:val="20"/>
        </w:rPr>
        <w:t>D</w:t>
      </w:r>
      <w:r w:rsidR="00717F4C" w:rsidRPr="002D3EC7">
        <w:rPr>
          <w:rFonts w:ascii="Times New Roman" w:hAnsi="Times New Roman" w:cs="Times New Roman"/>
          <w:sz w:val="20"/>
          <w:szCs w:val="20"/>
        </w:rPr>
        <w:t xml:space="preserve">e </w:t>
      </w:r>
      <w:r w:rsidR="001B668C">
        <w:rPr>
          <w:rFonts w:ascii="Times New Roman" w:hAnsi="Times New Roman" w:cs="Times New Roman"/>
          <w:sz w:val="20"/>
          <w:szCs w:val="20"/>
        </w:rPr>
        <w:t>04</w:t>
      </w:r>
      <w:r w:rsidR="00862D08" w:rsidRPr="002D3EC7">
        <w:rPr>
          <w:rFonts w:ascii="Times New Roman" w:hAnsi="Times New Roman" w:cs="Times New Roman"/>
          <w:sz w:val="20"/>
          <w:szCs w:val="20"/>
        </w:rPr>
        <w:t>/</w:t>
      </w:r>
      <w:r w:rsidR="001B668C">
        <w:rPr>
          <w:rFonts w:ascii="Times New Roman" w:hAnsi="Times New Roman" w:cs="Times New Roman"/>
          <w:sz w:val="20"/>
          <w:szCs w:val="20"/>
        </w:rPr>
        <w:t>10</w:t>
      </w:r>
      <w:r w:rsidR="00BE72A6" w:rsidRPr="002D3EC7">
        <w:rPr>
          <w:rFonts w:ascii="Times New Roman" w:hAnsi="Times New Roman" w:cs="Times New Roman"/>
          <w:sz w:val="20"/>
          <w:szCs w:val="20"/>
        </w:rPr>
        <w:t>/202</w:t>
      </w:r>
      <w:r w:rsidR="001B668C">
        <w:rPr>
          <w:rFonts w:ascii="Times New Roman" w:hAnsi="Times New Roman" w:cs="Times New Roman"/>
          <w:sz w:val="20"/>
          <w:szCs w:val="20"/>
        </w:rPr>
        <w:t>1</w:t>
      </w:r>
      <w:r w:rsidR="00717F4C" w:rsidRPr="002D3EC7">
        <w:rPr>
          <w:rFonts w:ascii="Times New Roman" w:hAnsi="Times New Roman" w:cs="Times New Roman"/>
          <w:sz w:val="20"/>
          <w:szCs w:val="20"/>
        </w:rPr>
        <w:t xml:space="preserve"> a </w:t>
      </w:r>
      <w:r w:rsidR="001B668C">
        <w:rPr>
          <w:rFonts w:ascii="Times New Roman" w:hAnsi="Times New Roman" w:cs="Times New Roman"/>
          <w:sz w:val="20"/>
          <w:szCs w:val="20"/>
        </w:rPr>
        <w:t>15</w:t>
      </w:r>
      <w:r w:rsidR="00862D08" w:rsidRPr="002D3EC7">
        <w:rPr>
          <w:rFonts w:ascii="Times New Roman" w:hAnsi="Times New Roman" w:cs="Times New Roman"/>
          <w:sz w:val="20"/>
          <w:szCs w:val="20"/>
        </w:rPr>
        <w:t>/0</w:t>
      </w:r>
      <w:r w:rsidR="001B668C">
        <w:rPr>
          <w:rFonts w:ascii="Times New Roman" w:hAnsi="Times New Roman" w:cs="Times New Roman"/>
          <w:sz w:val="20"/>
          <w:szCs w:val="20"/>
        </w:rPr>
        <w:t>2</w:t>
      </w:r>
      <w:r w:rsidR="00BE72A6" w:rsidRPr="002D3EC7">
        <w:rPr>
          <w:rFonts w:ascii="Times New Roman" w:hAnsi="Times New Roman" w:cs="Times New Roman"/>
          <w:sz w:val="20"/>
          <w:szCs w:val="20"/>
        </w:rPr>
        <w:t>/</w:t>
      </w:r>
      <w:r w:rsidR="00717F4C" w:rsidRPr="002D3EC7">
        <w:rPr>
          <w:rFonts w:ascii="Times New Roman" w:hAnsi="Times New Roman" w:cs="Times New Roman"/>
          <w:sz w:val="20"/>
          <w:szCs w:val="20"/>
        </w:rPr>
        <w:t>202</w:t>
      </w:r>
      <w:r w:rsidR="001B668C">
        <w:rPr>
          <w:rFonts w:ascii="Times New Roman" w:hAnsi="Times New Roman" w:cs="Times New Roman"/>
          <w:sz w:val="20"/>
          <w:szCs w:val="20"/>
        </w:rPr>
        <w:t>2</w:t>
      </w:r>
      <w:r w:rsidR="00BE72A6" w:rsidRPr="002D3EC7">
        <w:rPr>
          <w:rFonts w:ascii="Times New Roman" w:hAnsi="Times New Roman" w:cs="Times New Roman"/>
          <w:sz w:val="20"/>
          <w:szCs w:val="20"/>
        </w:rPr>
        <w:t xml:space="preserve"> (Recesso 23/12/2</w:t>
      </w:r>
      <w:r w:rsidR="0045303D">
        <w:rPr>
          <w:rFonts w:ascii="Times New Roman" w:hAnsi="Times New Roman" w:cs="Times New Roman"/>
          <w:sz w:val="20"/>
          <w:szCs w:val="20"/>
        </w:rPr>
        <w:t>1</w:t>
      </w:r>
      <w:r w:rsidR="00BE72A6" w:rsidRPr="002D3EC7">
        <w:rPr>
          <w:rFonts w:ascii="Times New Roman" w:hAnsi="Times New Roman" w:cs="Times New Roman"/>
          <w:sz w:val="20"/>
          <w:szCs w:val="20"/>
        </w:rPr>
        <w:t xml:space="preserve"> a 0</w:t>
      </w:r>
      <w:r w:rsidR="0037046F">
        <w:rPr>
          <w:rFonts w:ascii="Times New Roman" w:hAnsi="Times New Roman" w:cs="Times New Roman"/>
          <w:sz w:val="20"/>
          <w:szCs w:val="20"/>
        </w:rPr>
        <w:t>2</w:t>
      </w:r>
      <w:r w:rsidR="00BE72A6" w:rsidRPr="002D3EC7">
        <w:rPr>
          <w:rFonts w:ascii="Times New Roman" w:hAnsi="Times New Roman" w:cs="Times New Roman"/>
          <w:sz w:val="20"/>
          <w:szCs w:val="20"/>
        </w:rPr>
        <w:t>/01/202</w:t>
      </w:r>
      <w:r w:rsidR="0045303D">
        <w:rPr>
          <w:rFonts w:ascii="Times New Roman" w:hAnsi="Times New Roman" w:cs="Times New Roman"/>
          <w:sz w:val="20"/>
          <w:szCs w:val="20"/>
        </w:rPr>
        <w:t>2</w:t>
      </w:r>
      <w:r w:rsidR="00BE72A6" w:rsidRPr="002D3EC7">
        <w:rPr>
          <w:rFonts w:ascii="Times New Roman" w:hAnsi="Times New Roman" w:cs="Times New Roman"/>
          <w:sz w:val="20"/>
          <w:szCs w:val="20"/>
        </w:rPr>
        <w:t>)</w:t>
      </w:r>
    </w:p>
    <w:p w14:paraId="70685484" w14:textId="1E847AC6" w:rsidR="008A4B9F" w:rsidRPr="002D3EC7" w:rsidRDefault="008A4B9F" w:rsidP="00717F4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2D3EC7" w:rsidRPr="002D3EC7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2D3EC7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2D3EC7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2D3EC7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Horas</w:t>
            </w:r>
            <w:r w:rsidR="00EA7AAA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3EC7" w:rsidRPr="002D3EC7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0078328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14D8FA" w14:textId="77777777" w:rsidR="001741EF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5/10</w:t>
            </w:r>
          </w:p>
          <w:p w14:paraId="3AD4B1F5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C1B4D" w14:textId="3460BBD2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12/10, 19/10 e 26/10</w:t>
            </w:r>
          </w:p>
          <w:p w14:paraId="3DF013A4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E7068" w14:textId="7CA153A4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9/11, 16/11, 23/11, 30/11, 7/12</w:t>
            </w:r>
            <w:r w:rsidR="00361CB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14/12</w:t>
            </w:r>
            <w:r w:rsidR="00361C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21/12</w:t>
            </w:r>
          </w:p>
          <w:p w14:paraId="45BE3E3D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86DC42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4/1 </w:t>
            </w:r>
          </w:p>
          <w:p w14:paraId="37BC8B2C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DD85F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C29084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11/1, 18/1</w:t>
            </w:r>
          </w:p>
          <w:p w14:paraId="7B2EE653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92FB11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25/1</w:t>
            </w:r>
          </w:p>
          <w:p w14:paraId="40B67D6A" w14:textId="77777777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24CA00" w14:textId="200CD029" w:rsidR="00E73727" w:rsidRPr="002D3EC7" w:rsidRDefault="00E73727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1/2, 8/2</w:t>
            </w:r>
          </w:p>
        </w:tc>
        <w:tc>
          <w:tcPr>
            <w:tcW w:w="6973" w:type="dxa"/>
            <w:shd w:val="clear" w:color="auto" w:fill="auto"/>
          </w:tcPr>
          <w:p w14:paraId="64A440B3" w14:textId="77777777" w:rsidR="001741E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Síncronas:</w:t>
            </w:r>
          </w:p>
          <w:p w14:paraId="68A5A0A8" w14:textId="46F0E924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B99CC" w14:textId="08E2CE66" w:rsidR="008A4B9F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Apresentação Geral da Disciplina</w:t>
            </w:r>
          </w:p>
          <w:p w14:paraId="225CA2AE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A9755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C4E00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A teoria freudiana dos lapsos: leitura das “Conferências introdutórias à psicanálise” (Conferências 2, 3 e 4)</w:t>
            </w:r>
          </w:p>
          <w:p w14:paraId="1EE959E0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9B439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3E458" w14:textId="2353436D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Leitura, análise e discussões a respeito de “A psicopatologia da vida cotidiana”(1901)</w:t>
            </w:r>
          </w:p>
          <w:p w14:paraId="5A8BE4B3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193F9" w14:textId="6DD2A985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Primeira etapa da elaboração dos trabalhos individuais</w:t>
            </w:r>
          </w:p>
          <w:p w14:paraId="2E668BCB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DB839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5F37C" w14:textId="77777777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AA2A1" w14:textId="77777777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Leitura, análise e discussões a respeito de “A psicopatologia da vida cotidiana”(1901)</w:t>
            </w:r>
          </w:p>
          <w:p w14:paraId="1A08EC31" w14:textId="77777777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9E133" w14:textId="77777777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58CCA" w14:textId="4772C37E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Segunda etapa da elaboração dos trabalhos individuais</w:t>
            </w:r>
          </w:p>
          <w:p w14:paraId="0A2153B9" w14:textId="77777777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13581" w14:textId="30E02350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Leitura de “Sobre lembranças encobridoras”. Encerramento da disciplina</w:t>
            </w:r>
          </w:p>
          <w:p w14:paraId="784E64AF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99112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F575A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69557" w14:textId="77777777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61254" w14:textId="0FDF21B1" w:rsidR="00E73727" w:rsidRPr="002D3EC7" w:rsidRDefault="00E73727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31A710B5" w14:textId="77777777" w:rsidR="001741EF" w:rsidRPr="002D3EC7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8C325" w14:textId="77777777" w:rsidR="002D3EC7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36904" w14:textId="77777777" w:rsidR="002D3EC7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07A9E" w14:textId="77777777" w:rsidR="002D3EC7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626A5" w14:textId="166CFA22" w:rsidR="002D3EC7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D3EC7" w:rsidRPr="002D3EC7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2D3EC7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2739198" w:rsidR="001741E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12A8" w14:textId="514E66D3" w:rsidR="008A4B9F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Acompanhamento dos registros em vídeo e aúdio das atividades síncronas (encontros à distância), encontros de supervisão e orientação com o docente responsável, elaboração e revisão das etapas de avaliação da disciplina.</w:t>
            </w:r>
          </w:p>
          <w:p w14:paraId="402C97CD" w14:textId="012177F1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2D3EC7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056869" w14:textId="77777777" w:rsidR="00372AA5" w:rsidRPr="002D3EC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2F696" w14:textId="77777777" w:rsidR="00372AA5" w:rsidRPr="002D3EC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8B472" w14:textId="079ACB49" w:rsidR="00372AA5" w:rsidRPr="002D3EC7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D3EC7" w:rsidRPr="002D3EC7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2D3EC7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25D4A9A3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Orientações de leituras:</w:t>
            </w:r>
          </w:p>
          <w:p w14:paraId="494EC41B" w14:textId="52EBB0DA" w:rsidR="00E73727" w:rsidRPr="002D3EC7" w:rsidRDefault="00E73727" w:rsidP="00E7372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Os textos da bibliografia básica serão discutidos de maneira detalhada durante as atividades síncronas</w:t>
            </w:r>
            <w:r w:rsidR="000B72E1" w:rsidRPr="002D3EC7">
              <w:rPr>
                <w:rFonts w:ascii="Times New Roman" w:hAnsi="Times New Roman" w:cs="Times New Roman"/>
                <w:sz w:val="20"/>
                <w:szCs w:val="20"/>
              </w:rPr>
              <w:t>, que serão registradas em gravaçõese disponibilizadas para todos os alunos</w:t>
            </w: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. Os textos da bibliografia complementar são textos de apoio que apenas auxiliam a compreensão dos textos da bibliografia básica.</w:t>
            </w:r>
          </w:p>
          <w:p w14:paraId="08C0CC75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520A5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28EB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832DC" w14:textId="6BD238A6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6DC4B235" w:rsidR="008A4B9F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FDF2ABD" w14:textId="77777777" w:rsidR="00545A6E" w:rsidRDefault="00545A6E">
      <w:r>
        <w:rPr>
          <w:b w:val="0"/>
        </w:rPr>
        <w:br w:type="page"/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2D3EC7" w:rsidRPr="002D3EC7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7A41F84A" w:rsidR="001741EF" w:rsidRPr="002D3EC7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14:paraId="2FAAD032" w14:textId="77777777" w:rsidR="001741E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sz w:val="20"/>
                <w:szCs w:val="20"/>
              </w:rPr>
              <w:t>Avaliações:</w:t>
            </w:r>
          </w:p>
          <w:p w14:paraId="171287AF" w14:textId="77777777" w:rsidR="000B72E1" w:rsidRPr="002D3EC7" w:rsidRDefault="000B72E1" w:rsidP="000B72E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B8B4C" w14:textId="33013B58" w:rsidR="000B72E1" w:rsidRPr="002D3EC7" w:rsidRDefault="000B72E1" w:rsidP="000B72E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Elaboração de um trabalho escrito, a ser entregue ao final do semestre letivo, em quatro etapas distintas: a) escolha do tema e primeiras anotações; b) esboço e planejamento; c) primeira versão; d) versão corrigida.</w:t>
            </w:r>
          </w:p>
          <w:p w14:paraId="2EDAE3C9" w14:textId="48709529" w:rsidR="008A4B9F" w:rsidRPr="002D3EC7" w:rsidRDefault="000B72E1" w:rsidP="000B72E1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Em cada uma das etapas o docente responsável atuará como um supervisor e orientador das atividades realizadas pelo aluno, apresentando sugestões ou novas indicações que o preparem para a etapa seguinte da avaliação.</w:t>
            </w:r>
          </w:p>
          <w:p w14:paraId="1BA575BE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8E5A5" w14:textId="77777777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5D2D8" w14:textId="35A2B8D0" w:rsidR="008A4B9F" w:rsidRPr="002D3EC7" w:rsidRDefault="008A4B9F" w:rsidP="003B69A0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2DF57C83" w:rsidR="001741EF" w:rsidRPr="002D3EC7" w:rsidRDefault="002D3EC7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D3EC7" w:rsidRPr="002D3EC7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2D3EC7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de</w:t>
            </w:r>
            <w:r w:rsidR="008A4B9F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3DB67EBD" w:rsidR="00CA0C06" w:rsidRPr="002D3EC7" w:rsidRDefault="002D3EC7" w:rsidP="00EA7AA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3EC7">
              <w:rPr>
                <w:rFonts w:ascii="Times New Roman" w:hAnsi="Times New Roman" w:cs="Times New Roman"/>
                <w:iCs/>
                <w:sz w:val="20"/>
                <w:szCs w:val="20"/>
              </w:rPr>
              <w:t>90</w:t>
            </w:r>
          </w:p>
        </w:tc>
      </w:tr>
      <w:tr w:rsidR="002D3EC7" w:rsidRPr="002D3EC7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6112A6EE" w:rsidR="0051732A" w:rsidRPr="002D3EC7" w:rsidRDefault="001B668C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51732A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1732A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1732A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4B6F1B" w:rsidRPr="002D3E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Prazo final para preenchimento da pasta verde.</w:t>
            </w:r>
          </w:p>
        </w:tc>
      </w:tr>
    </w:tbl>
    <w:p w14:paraId="68C35FD0" w14:textId="77777777" w:rsidR="00F32EAF" w:rsidRPr="002D3EC7" w:rsidRDefault="00F32EAF" w:rsidP="008C7160">
      <w:pPr>
        <w:rPr>
          <w:rFonts w:ascii="Times New Roman" w:hAnsi="Times New Roman" w:cs="Times New Roman"/>
          <w:sz w:val="20"/>
          <w:szCs w:val="20"/>
        </w:rPr>
      </w:pPr>
    </w:p>
    <w:p w14:paraId="5040E464" w14:textId="7262D452" w:rsidR="00066EF9" w:rsidRPr="002D3EC7" w:rsidRDefault="00066EF9" w:rsidP="00066EF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785017" w14:textId="77777777" w:rsidR="00C044DA" w:rsidRPr="002D3EC7" w:rsidRDefault="00C044DA" w:rsidP="00066EF9">
      <w:pPr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044DA" w:rsidRPr="002D3EC7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B890" w14:textId="77777777" w:rsidR="00B81338" w:rsidRDefault="00B81338" w:rsidP="003D7D73">
      <w:pPr>
        <w:spacing w:before="0" w:after="0"/>
      </w:pPr>
      <w:r>
        <w:separator/>
      </w:r>
    </w:p>
  </w:endnote>
  <w:endnote w:type="continuationSeparator" w:id="0">
    <w:p w14:paraId="3722CB39" w14:textId="77777777" w:rsidR="00B81338" w:rsidRDefault="00B81338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BD7A" w14:textId="77777777" w:rsidR="00B81338" w:rsidRDefault="00B81338" w:rsidP="003D7D73">
      <w:pPr>
        <w:spacing w:before="0" w:after="0"/>
      </w:pPr>
      <w:r>
        <w:separator/>
      </w:r>
    </w:p>
  </w:footnote>
  <w:footnote w:type="continuationSeparator" w:id="0">
    <w:p w14:paraId="68C9311D" w14:textId="77777777" w:rsidR="00B81338" w:rsidRDefault="00B81338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B64E4"/>
    <w:rsid w:val="000B72E1"/>
    <w:rsid w:val="000C14BA"/>
    <w:rsid w:val="000D5B3B"/>
    <w:rsid w:val="000E0A67"/>
    <w:rsid w:val="000E781C"/>
    <w:rsid w:val="000F4381"/>
    <w:rsid w:val="001026A3"/>
    <w:rsid w:val="001128EE"/>
    <w:rsid w:val="0012761A"/>
    <w:rsid w:val="00146681"/>
    <w:rsid w:val="00161219"/>
    <w:rsid w:val="001645EA"/>
    <w:rsid w:val="001724AF"/>
    <w:rsid w:val="001741EF"/>
    <w:rsid w:val="00187C52"/>
    <w:rsid w:val="001A05F6"/>
    <w:rsid w:val="001A0BB2"/>
    <w:rsid w:val="001A392F"/>
    <w:rsid w:val="001B668C"/>
    <w:rsid w:val="001C7884"/>
    <w:rsid w:val="001D288B"/>
    <w:rsid w:val="001E0B86"/>
    <w:rsid w:val="001E0E91"/>
    <w:rsid w:val="001F1168"/>
    <w:rsid w:val="00217B0D"/>
    <w:rsid w:val="0025011A"/>
    <w:rsid w:val="00261EB7"/>
    <w:rsid w:val="00270D92"/>
    <w:rsid w:val="00271D97"/>
    <w:rsid w:val="0027296F"/>
    <w:rsid w:val="00276029"/>
    <w:rsid w:val="00282827"/>
    <w:rsid w:val="00291113"/>
    <w:rsid w:val="0029713F"/>
    <w:rsid w:val="002B1DFD"/>
    <w:rsid w:val="002D3EC7"/>
    <w:rsid w:val="002D421D"/>
    <w:rsid w:val="002F0CEF"/>
    <w:rsid w:val="00314D10"/>
    <w:rsid w:val="003372C2"/>
    <w:rsid w:val="003412BE"/>
    <w:rsid w:val="003431DF"/>
    <w:rsid w:val="003434FE"/>
    <w:rsid w:val="00361CBB"/>
    <w:rsid w:val="0037046F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303D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45A6E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C02F5"/>
    <w:rsid w:val="008147BB"/>
    <w:rsid w:val="00832A9E"/>
    <w:rsid w:val="008350DD"/>
    <w:rsid w:val="0086253F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4281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7B53"/>
    <w:rsid w:val="00AC2010"/>
    <w:rsid w:val="00AD0A25"/>
    <w:rsid w:val="00AD400F"/>
    <w:rsid w:val="00B12C91"/>
    <w:rsid w:val="00B153AC"/>
    <w:rsid w:val="00B43A9E"/>
    <w:rsid w:val="00B67965"/>
    <w:rsid w:val="00B73B41"/>
    <w:rsid w:val="00B81338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CE5DC7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40043"/>
    <w:rsid w:val="00E433C8"/>
    <w:rsid w:val="00E6385A"/>
    <w:rsid w:val="00E638B7"/>
    <w:rsid w:val="00E73727"/>
    <w:rsid w:val="00E80596"/>
    <w:rsid w:val="00E82410"/>
    <w:rsid w:val="00E97CD3"/>
    <w:rsid w:val="00EA7AAA"/>
    <w:rsid w:val="00EB0F45"/>
    <w:rsid w:val="00EC3A82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D1039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</cp:revision>
  <dcterms:created xsi:type="dcterms:W3CDTF">2021-07-06T19:26:00Z</dcterms:created>
  <dcterms:modified xsi:type="dcterms:W3CDTF">2021-08-18T13:47:00Z</dcterms:modified>
</cp:coreProperties>
</file>